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5230" w14:textId="35DE0168" w:rsidR="000167C4" w:rsidRDefault="000167C4" w:rsidP="000167C4">
      <w:pPr>
        <w:pStyle w:val="BodyText"/>
        <w:spacing w:before="4"/>
        <w:ind w:left="0" w:firstLine="0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E8B75F7" wp14:editId="2DC3EF9C">
            <wp:extent cx="4991100" cy="2548264"/>
            <wp:effectExtent l="0" t="0" r="0" b="4445"/>
            <wp:docPr id="1729056021" name="Picture 172905602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655" cy="258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CFA8" w14:textId="77777777" w:rsidR="000167C4" w:rsidRPr="00775D3B" w:rsidRDefault="000167C4" w:rsidP="000167C4">
      <w:pPr>
        <w:pStyle w:val="BodyText"/>
        <w:spacing w:before="4"/>
        <w:ind w:left="0" w:firstLine="0"/>
        <w:jc w:val="center"/>
        <w:rPr>
          <w:rFonts w:ascii="Times New Roman"/>
          <w:sz w:val="20"/>
        </w:rPr>
      </w:pPr>
    </w:p>
    <w:p w14:paraId="2EDE402A" w14:textId="56C88D41" w:rsidR="000167C4" w:rsidRPr="00534DCA" w:rsidRDefault="000167C4" w:rsidP="000167C4">
      <w:pPr>
        <w:tabs>
          <w:tab w:val="left" w:pos="2693"/>
        </w:tabs>
        <w:spacing w:before="100"/>
        <w:ind w:right="357"/>
        <w:jc w:val="center"/>
        <w:rPr>
          <w:rFonts w:ascii="Lato" w:hAnsi="Lato"/>
          <w:b/>
          <w:bCs/>
          <w:color w:val="153D63" w:themeColor="text2" w:themeTint="E6"/>
          <w:sz w:val="96"/>
          <w:szCs w:val="96"/>
        </w:rPr>
      </w:pPr>
      <w:r w:rsidRPr="00534DCA">
        <w:rPr>
          <w:rFonts w:ascii="Lato" w:hAnsi="Lato"/>
          <w:b/>
          <w:bCs/>
          <w:color w:val="153D63" w:themeColor="text2" w:themeTint="E6"/>
          <w:sz w:val="96"/>
          <w:szCs w:val="96"/>
        </w:rPr>
        <w:t>202</w:t>
      </w:r>
      <w:r w:rsidR="0008392E">
        <w:rPr>
          <w:rFonts w:ascii="Lato" w:hAnsi="Lato"/>
          <w:b/>
          <w:bCs/>
          <w:color w:val="153D63" w:themeColor="text2" w:themeTint="E6"/>
          <w:sz w:val="96"/>
          <w:szCs w:val="96"/>
        </w:rPr>
        <w:t>6</w:t>
      </w:r>
      <w:r w:rsidRPr="00534DCA">
        <w:rPr>
          <w:rFonts w:ascii="Lato" w:hAnsi="Lato"/>
          <w:b/>
          <w:bCs/>
          <w:color w:val="153D63" w:themeColor="text2" w:themeTint="E6"/>
          <w:sz w:val="96"/>
          <w:szCs w:val="96"/>
        </w:rPr>
        <w:t xml:space="preserve"> Business</w:t>
      </w:r>
      <w:r w:rsidRPr="00534DCA">
        <w:rPr>
          <w:rFonts w:ascii="Lato" w:hAnsi="Lato"/>
          <w:b/>
          <w:bCs/>
          <w:color w:val="153D63" w:themeColor="text2" w:themeTint="E6"/>
          <w:spacing w:val="-6"/>
          <w:sz w:val="96"/>
          <w:szCs w:val="96"/>
        </w:rPr>
        <w:t xml:space="preserve"> </w:t>
      </w:r>
      <w:r w:rsidRPr="00534DCA">
        <w:rPr>
          <w:rFonts w:ascii="Lato" w:hAnsi="Lato"/>
          <w:b/>
          <w:bCs/>
          <w:color w:val="153D63" w:themeColor="text2" w:themeTint="E6"/>
          <w:sz w:val="96"/>
          <w:szCs w:val="96"/>
        </w:rPr>
        <w:t>Plan</w:t>
      </w:r>
    </w:p>
    <w:p w14:paraId="1F5066D3" w14:textId="77777777" w:rsidR="000167C4" w:rsidRPr="00534DCA" w:rsidRDefault="000167C4" w:rsidP="000167C4">
      <w:pPr>
        <w:pStyle w:val="BodyText"/>
        <w:ind w:left="0" w:firstLine="0"/>
        <w:rPr>
          <w:rFonts w:ascii="Lato" w:hAnsi="Lato"/>
          <w:color w:val="153D63" w:themeColor="text2" w:themeTint="E6"/>
          <w:sz w:val="112"/>
        </w:rPr>
      </w:pPr>
    </w:p>
    <w:p w14:paraId="6A855EC7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</w:p>
    <w:p w14:paraId="1991E5FE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</w:p>
    <w:p w14:paraId="0D30F1C1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</w:p>
    <w:p w14:paraId="29B74099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</w:p>
    <w:p w14:paraId="7CC72D06" w14:textId="77777777" w:rsidR="000167C4" w:rsidRPr="00534DCA" w:rsidRDefault="000167C4" w:rsidP="00697239">
      <w:pPr>
        <w:ind w:right="258"/>
        <w:rPr>
          <w:rFonts w:ascii="Lato" w:hAnsi="Lato"/>
          <w:b/>
          <w:color w:val="153D63" w:themeColor="text2" w:themeTint="E6"/>
          <w:sz w:val="36"/>
        </w:rPr>
      </w:pPr>
    </w:p>
    <w:p w14:paraId="28F8E8D2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  <w:r w:rsidRPr="00534DCA">
        <w:rPr>
          <w:rFonts w:ascii="Lato" w:hAnsi="Lato"/>
          <w:b/>
          <w:color w:val="153D63" w:themeColor="text2" w:themeTint="E6"/>
          <w:sz w:val="36"/>
        </w:rPr>
        <w:t>CCDA/DACC’s Mission</w:t>
      </w:r>
    </w:p>
    <w:p w14:paraId="4C211381" w14:textId="425564D2" w:rsidR="000167C4" w:rsidRPr="00534DCA" w:rsidRDefault="000167C4" w:rsidP="000167C4">
      <w:pPr>
        <w:jc w:val="center"/>
        <w:rPr>
          <w:rFonts w:ascii="Lato" w:hAnsi="Lato"/>
          <w:color w:val="153D63" w:themeColor="text2" w:themeTint="E6"/>
          <w:sz w:val="36"/>
          <w:szCs w:val="36"/>
        </w:rPr>
      </w:pPr>
      <w:r w:rsidRPr="00534DCA">
        <w:rPr>
          <w:rFonts w:ascii="Lato" w:hAnsi="Lato"/>
          <w:color w:val="153D63" w:themeColor="text2" w:themeTint="E6"/>
          <w:sz w:val="36"/>
          <w:szCs w:val="36"/>
        </w:rPr>
        <w:t>To promote economic prosperity through strategic attraction, retention and expansion of capital investment and primary jobs</w:t>
      </w:r>
    </w:p>
    <w:p w14:paraId="1092C944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</w:p>
    <w:p w14:paraId="6A3FE37B" w14:textId="77777777" w:rsidR="000167C4" w:rsidRPr="00534DCA" w:rsidRDefault="000167C4" w:rsidP="000167C4">
      <w:pPr>
        <w:ind w:right="258"/>
        <w:jc w:val="center"/>
        <w:rPr>
          <w:rFonts w:ascii="Lato" w:hAnsi="Lato"/>
          <w:b/>
          <w:color w:val="153D63" w:themeColor="text2" w:themeTint="E6"/>
          <w:sz w:val="36"/>
        </w:rPr>
      </w:pPr>
      <w:r w:rsidRPr="00534DCA">
        <w:rPr>
          <w:rFonts w:ascii="Lato" w:hAnsi="Lato"/>
          <w:b/>
          <w:color w:val="153D63" w:themeColor="text2" w:themeTint="E6"/>
          <w:sz w:val="36"/>
        </w:rPr>
        <w:t>CCDA/DACC’s Vision</w:t>
      </w:r>
    </w:p>
    <w:p w14:paraId="3006E536" w14:textId="77777777" w:rsidR="000167C4" w:rsidRPr="00534DCA" w:rsidRDefault="000167C4" w:rsidP="000167C4">
      <w:pPr>
        <w:ind w:left="99" w:right="357"/>
        <w:jc w:val="center"/>
        <w:rPr>
          <w:rFonts w:ascii="Lato" w:hAnsi="Lato"/>
          <w:color w:val="153D63" w:themeColor="text2" w:themeTint="E6"/>
          <w:sz w:val="36"/>
        </w:rPr>
        <w:sectPr w:rsidR="000167C4" w:rsidRPr="00534DCA" w:rsidSect="000167C4">
          <w:pgSz w:w="12240" w:h="15840"/>
          <w:pgMar w:top="1500" w:right="960" w:bottom="280" w:left="1340" w:header="720" w:footer="720" w:gutter="0"/>
          <w:cols w:space="720"/>
        </w:sectPr>
      </w:pPr>
      <w:r w:rsidRPr="00534DCA">
        <w:rPr>
          <w:rFonts w:ascii="Lato" w:hAnsi="Lato"/>
          <w:color w:val="153D63" w:themeColor="text2" w:themeTint="E6"/>
          <w:sz w:val="36"/>
        </w:rPr>
        <w:t>To shape Coweta’s economic future</w:t>
      </w:r>
    </w:p>
    <w:p w14:paraId="6EC4BCCE" w14:textId="77777777" w:rsidR="00CE6225" w:rsidRPr="00514E3A" w:rsidRDefault="000167C4" w:rsidP="00CE6225">
      <w:pPr>
        <w:pStyle w:val="Heading1"/>
        <w:spacing w:before="102"/>
        <w:rPr>
          <w:rFonts w:ascii="Lato" w:hAnsi="Lato"/>
          <w:b/>
          <w:bCs/>
          <w:color w:val="auto"/>
          <w:sz w:val="32"/>
          <w:szCs w:val="32"/>
        </w:rPr>
      </w:pPr>
      <w:r w:rsidRPr="00514E3A">
        <w:rPr>
          <w:rFonts w:ascii="Lato" w:hAnsi="Lato"/>
          <w:b/>
          <w:bCs/>
          <w:color w:val="auto"/>
          <w:sz w:val="32"/>
          <w:szCs w:val="32"/>
        </w:rPr>
        <w:lastRenderedPageBreak/>
        <w:t>Forecast and Actual</w:t>
      </w:r>
    </w:p>
    <w:p w14:paraId="5F4D4F9A" w14:textId="316D0D26" w:rsidR="002D5DDE" w:rsidRPr="000109DD" w:rsidRDefault="002D5DDE" w:rsidP="002D5DDE">
      <w:pPr>
        <w:pStyle w:val="Heading1"/>
        <w:spacing w:before="102"/>
        <w:ind w:left="360"/>
        <w:contextualSpacing/>
        <w:rPr>
          <w:rFonts w:ascii="Lato" w:hAnsi="Lato"/>
          <w:b/>
          <w:bCs/>
          <w:color w:val="153D63" w:themeColor="text2" w:themeTint="E6"/>
          <w:sz w:val="24"/>
          <w:szCs w:val="24"/>
        </w:rPr>
      </w:pPr>
      <w:r w:rsidRPr="000109DD">
        <w:rPr>
          <w:rFonts w:ascii="Lato" w:hAnsi="Lato"/>
          <w:b/>
          <w:bCs/>
          <w:color w:val="153D63" w:themeColor="text2" w:themeTint="E6"/>
          <w:sz w:val="24"/>
          <w:szCs w:val="24"/>
        </w:rPr>
        <w:t>2025 Forecast</w:t>
      </w:r>
    </w:p>
    <w:p w14:paraId="33F3B8C3" w14:textId="77777777" w:rsidR="002D5DDE" w:rsidRPr="00386515" w:rsidRDefault="002D5DDE" w:rsidP="002D5DDE">
      <w:pPr>
        <w:pStyle w:val="Heading1"/>
        <w:spacing w:before="102"/>
        <w:ind w:left="360"/>
        <w:contextualSpacing/>
        <w:rPr>
          <w:rFonts w:ascii="Lato" w:hAnsi="Lato"/>
          <w:i/>
          <w:iCs/>
          <w:color w:val="365F91"/>
        </w:rPr>
      </w:pPr>
    </w:p>
    <w:p w14:paraId="2803E74F" w14:textId="72DD2B73" w:rsidR="002D5DDE" w:rsidRPr="00386515" w:rsidRDefault="002D5DDE" w:rsidP="00210B80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Global growth will stay steady </w:t>
      </w:r>
      <w:r w:rsidR="00CD6B26">
        <w:rPr>
          <w:rFonts w:ascii="Lato" w:hAnsi="Lato" w:cstheme="minorHAnsi"/>
          <w:color w:val="auto"/>
          <w:sz w:val="22"/>
          <w:szCs w:val="22"/>
        </w:rPr>
        <w:t xml:space="preserve">at </w:t>
      </w:r>
      <w:r w:rsidRPr="00386515">
        <w:rPr>
          <w:rFonts w:ascii="Lato" w:hAnsi="Lato" w:cstheme="minorHAnsi"/>
          <w:color w:val="auto"/>
          <w:sz w:val="22"/>
          <w:szCs w:val="22"/>
        </w:rPr>
        <w:t>3.2%</w:t>
      </w:r>
    </w:p>
    <w:p w14:paraId="38CD8CB4" w14:textId="1134D658" w:rsidR="002D5DDE" w:rsidRPr="00386515" w:rsidRDefault="002D5DDE" w:rsidP="00210B80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Global inflation will decline to </w:t>
      </w:r>
      <w:r w:rsidR="00561F4D">
        <w:rPr>
          <w:rFonts w:ascii="Lato" w:hAnsi="Lato" w:cstheme="minorHAnsi"/>
          <w:color w:val="auto"/>
          <w:sz w:val="22"/>
          <w:szCs w:val="22"/>
        </w:rPr>
        <w:t>4.3%</w:t>
      </w:r>
    </w:p>
    <w:p w14:paraId="55567FF8" w14:textId="0112819B" w:rsidR="00210B80" w:rsidRDefault="002D5DDE" w:rsidP="00210B80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US growth will slow from 2.8% in 2024 to </w:t>
      </w:r>
      <w:r w:rsidR="00FB6EA5">
        <w:rPr>
          <w:rFonts w:ascii="Lato" w:hAnsi="Lato" w:cstheme="minorHAnsi"/>
          <w:color w:val="auto"/>
          <w:sz w:val="22"/>
          <w:szCs w:val="22"/>
        </w:rPr>
        <w:t>2.2</w:t>
      </w:r>
      <w:r w:rsidRPr="00386515">
        <w:rPr>
          <w:rFonts w:ascii="Lato" w:hAnsi="Lato" w:cstheme="minorHAnsi"/>
          <w:color w:val="auto"/>
          <w:sz w:val="22"/>
          <w:szCs w:val="22"/>
        </w:rPr>
        <w:t>% in 2025</w:t>
      </w:r>
    </w:p>
    <w:p w14:paraId="0A6FBD9C" w14:textId="77777777" w:rsidR="00210B80" w:rsidRPr="00210B80" w:rsidRDefault="00210B80" w:rsidP="00210B80"/>
    <w:p w14:paraId="7DE8742A" w14:textId="56CB504C" w:rsidR="00BB2F4E" w:rsidRPr="00697239" w:rsidRDefault="00BB2F4E" w:rsidP="00BB2F4E">
      <w:pPr>
        <w:pStyle w:val="Heading1"/>
        <w:spacing w:before="102"/>
        <w:ind w:left="360"/>
        <w:contextualSpacing/>
        <w:rPr>
          <w:rFonts w:ascii="Lato" w:hAnsi="Lato"/>
          <w:b/>
          <w:bCs/>
          <w:color w:val="153D63" w:themeColor="text2" w:themeTint="E6"/>
          <w:sz w:val="24"/>
          <w:szCs w:val="24"/>
        </w:rPr>
      </w:pPr>
      <w:r w:rsidRPr="00697239">
        <w:rPr>
          <w:rFonts w:ascii="Lato" w:hAnsi="Lato"/>
          <w:b/>
          <w:bCs/>
          <w:color w:val="153D63" w:themeColor="text2" w:themeTint="E6"/>
          <w:sz w:val="24"/>
          <w:szCs w:val="24"/>
        </w:rPr>
        <w:t>2025 Actual</w:t>
      </w:r>
    </w:p>
    <w:p w14:paraId="672D7AC2" w14:textId="77777777" w:rsidR="00977E29" w:rsidRPr="00977E29" w:rsidRDefault="00977E29" w:rsidP="00210B80"/>
    <w:p w14:paraId="6D69EE9C" w14:textId="2A854C61" w:rsidR="00B77A14" w:rsidRPr="00386515" w:rsidRDefault="00B77A14" w:rsidP="00210B80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Global growth </w:t>
      </w:r>
      <w:r w:rsidR="008D4730">
        <w:rPr>
          <w:rFonts w:ascii="Lato" w:hAnsi="Lato" w:cstheme="minorHAnsi"/>
          <w:color w:val="auto"/>
          <w:sz w:val="22"/>
          <w:szCs w:val="22"/>
        </w:rPr>
        <w:t xml:space="preserve">slightly </w:t>
      </w:r>
      <w:r w:rsidR="008248A9">
        <w:rPr>
          <w:rFonts w:ascii="Lato" w:hAnsi="Lato" w:cstheme="minorHAnsi"/>
          <w:color w:val="auto"/>
          <w:sz w:val="22"/>
          <w:szCs w:val="22"/>
        </w:rPr>
        <w:t xml:space="preserve">declined </w:t>
      </w:r>
      <w:r w:rsidR="008D4730">
        <w:rPr>
          <w:rFonts w:ascii="Lato" w:hAnsi="Lato" w:cstheme="minorHAnsi"/>
          <w:color w:val="auto"/>
          <w:sz w:val="22"/>
          <w:szCs w:val="22"/>
        </w:rPr>
        <w:t>from</w:t>
      </w:r>
      <w:r w:rsidR="008248A9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386515">
        <w:rPr>
          <w:rFonts w:ascii="Lato" w:hAnsi="Lato" w:cstheme="minorHAnsi"/>
          <w:color w:val="auto"/>
          <w:sz w:val="22"/>
          <w:szCs w:val="22"/>
        </w:rPr>
        <w:t>3</w:t>
      </w:r>
      <w:r w:rsidR="00A023F6">
        <w:rPr>
          <w:rFonts w:ascii="Lato" w:hAnsi="Lato" w:cstheme="minorHAnsi"/>
          <w:color w:val="auto"/>
          <w:sz w:val="22"/>
          <w:szCs w:val="22"/>
        </w:rPr>
        <w:t>.3</w:t>
      </w:r>
      <w:r w:rsidRPr="00386515">
        <w:rPr>
          <w:rFonts w:ascii="Lato" w:hAnsi="Lato" w:cstheme="minorHAnsi"/>
          <w:color w:val="auto"/>
          <w:sz w:val="22"/>
          <w:szCs w:val="22"/>
        </w:rPr>
        <w:t>%</w:t>
      </w:r>
      <w:r w:rsidR="008248A9">
        <w:rPr>
          <w:rFonts w:ascii="Lato" w:hAnsi="Lato" w:cstheme="minorHAnsi"/>
          <w:color w:val="auto"/>
          <w:sz w:val="22"/>
          <w:szCs w:val="22"/>
        </w:rPr>
        <w:t xml:space="preserve"> </w:t>
      </w:r>
      <w:r w:rsidR="008D4730">
        <w:rPr>
          <w:rFonts w:ascii="Lato" w:hAnsi="Lato" w:cstheme="minorHAnsi"/>
          <w:color w:val="auto"/>
          <w:sz w:val="22"/>
          <w:szCs w:val="22"/>
        </w:rPr>
        <w:t xml:space="preserve">to </w:t>
      </w:r>
      <w:r w:rsidR="00977E29">
        <w:rPr>
          <w:rFonts w:ascii="Lato" w:hAnsi="Lato" w:cstheme="minorHAnsi"/>
          <w:color w:val="auto"/>
          <w:sz w:val="22"/>
          <w:szCs w:val="22"/>
        </w:rPr>
        <w:t>3.</w:t>
      </w:r>
      <w:r w:rsidR="008D4730">
        <w:rPr>
          <w:rFonts w:ascii="Lato" w:hAnsi="Lato" w:cstheme="minorHAnsi"/>
          <w:color w:val="auto"/>
          <w:sz w:val="22"/>
          <w:szCs w:val="22"/>
        </w:rPr>
        <w:t>2</w:t>
      </w:r>
      <w:r w:rsidR="00977E29">
        <w:rPr>
          <w:rFonts w:ascii="Lato" w:hAnsi="Lato" w:cstheme="minorHAnsi"/>
          <w:color w:val="auto"/>
          <w:sz w:val="22"/>
          <w:szCs w:val="22"/>
        </w:rPr>
        <w:t>%</w:t>
      </w:r>
      <w:r w:rsidR="004D68E8">
        <w:rPr>
          <w:rFonts w:ascii="Lato" w:hAnsi="Lato" w:cstheme="minorHAnsi"/>
          <w:color w:val="auto"/>
          <w:sz w:val="22"/>
          <w:szCs w:val="22"/>
        </w:rPr>
        <w:t xml:space="preserve"> </w:t>
      </w:r>
    </w:p>
    <w:p w14:paraId="13F3D0A8" w14:textId="2FF14AA0" w:rsidR="00B77A14" w:rsidRPr="00D32357" w:rsidRDefault="00B77A14" w:rsidP="00210B80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D32357">
        <w:rPr>
          <w:rFonts w:ascii="Lato" w:hAnsi="Lato" w:cstheme="minorHAnsi"/>
          <w:color w:val="auto"/>
          <w:sz w:val="22"/>
          <w:szCs w:val="22"/>
        </w:rPr>
        <w:t xml:space="preserve">Global inflation </w:t>
      </w:r>
      <w:r w:rsidR="004E07CB" w:rsidRPr="00D32357">
        <w:rPr>
          <w:rFonts w:ascii="Lato" w:hAnsi="Lato" w:cstheme="minorHAnsi"/>
          <w:color w:val="auto"/>
          <w:sz w:val="22"/>
          <w:szCs w:val="22"/>
        </w:rPr>
        <w:t>declined to 4.2%</w:t>
      </w:r>
    </w:p>
    <w:p w14:paraId="41FC3949" w14:textId="5D507562" w:rsidR="00BB2F4E" w:rsidRPr="00697239" w:rsidRDefault="00B77A14" w:rsidP="00210B80">
      <w:pPr>
        <w:pStyle w:val="ListParagraph"/>
        <w:numPr>
          <w:ilvl w:val="1"/>
          <w:numId w:val="1"/>
        </w:numPr>
        <w:spacing w:line="480" w:lineRule="auto"/>
      </w:pPr>
      <w:r w:rsidRPr="00B77A14">
        <w:rPr>
          <w:rFonts w:ascii="Lato" w:hAnsi="Lato" w:cstheme="minorHAnsi"/>
          <w:sz w:val="22"/>
          <w:szCs w:val="22"/>
        </w:rPr>
        <w:t xml:space="preserve">US growth </w:t>
      </w:r>
      <w:r w:rsidR="00977E29">
        <w:rPr>
          <w:rFonts w:ascii="Lato" w:hAnsi="Lato" w:cstheme="minorHAnsi"/>
          <w:sz w:val="22"/>
          <w:szCs w:val="22"/>
        </w:rPr>
        <w:t>declined</w:t>
      </w:r>
      <w:r w:rsidRPr="00B77A14">
        <w:rPr>
          <w:rFonts w:ascii="Lato" w:hAnsi="Lato" w:cstheme="minorHAnsi"/>
          <w:sz w:val="22"/>
          <w:szCs w:val="22"/>
        </w:rPr>
        <w:t xml:space="preserve"> from 2.8% in 2024 to </w:t>
      </w:r>
      <w:r w:rsidR="00A214E9">
        <w:rPr>
          <w:rFonts w:ascii="Lato" w:hAnsi="Lato" w:cstheme="minorHAnsi"/>
          <w:sz w:val="22"/>
          <w:szCs w:val="22"/>
        </w:rPr>
        <w:t>2</w:t>
      </w:r>
      <w:r w:rsidRPr="00B77A14">
        <w:rPr>
          <w:rFonts w:ascii="Lato" w:hAnsi="Lato" w:cstheme="minorHAnsi"/>
          <w:sz w:val="22"/>
          <w:szCs w:val="22"/>
        </w:rPr>
        <w:t>% in 2025</w:t>
      </w:r>
    </w:p>
    <w:p w14:paraId="28391B99" w14:textId="77777777" w:rsidR="00697239" w:rsidRPr="00BB2F4E" w:rsidRDefault="00697239" w:rsidP="00697239">
      <w:pPr>
        <w:pStyle w:val="ListParagraph"/>
        <w:ind w:left="1440"/>
      </w:pPr>
    </w:p>
    <w:p w14:paraId="7439CF8F" w14:textId="579605EF" w:rsidR="00BB2F4E" w:rsidRPr="00697239" w:rsidRDefault="00BB2F4E" w:rsidP="00BB2F4E">
      <w:pPr>
        <w:pStyle w:val="Heading1"/>
        <w:spacing w:before="102"/>
        <w:ind w:left="360"/>
        <w:contextualSpacing/>
        <w:rPr>
          <w:rFonts w:ascii="Lato" w:hAnsi="Lato"/>
          <w:b/>
          <w:bCs/>
          <w:color w:val="153D63" w:themeColor="text2" w:themeTint="E6"/>
          <w:sz w:val="24"/>
          <w:szCs w:val="24"/>
        </w:rPr>
      </w:pPr>
      <w:r w:rsidRPr="00697239">
        <w:rPr>
          <w:rFonts w:ascii="Lato" w:hAnsi="Lato"/>
          <w:b/>
          <w:bCs/>
          <w:color w:val="153D63" w:themeColor="text2" w:themeTint="E6"/>
          <w:sz w:val="24"/>
          <w:szCs w:val="24"/>
        </w:rPr>
        <w:t>2026 Forecast</w:t>
      </w:r>
    </w:p>
    <w:p w14:paraId="4DD3F620" w14:textId="77777777" w:rsidR="00A214E9" w:rsidRPr="00A214E9" w:rsidRDefault="00A214E9" w:rsidP="00A214E9"/>
    <w:p w14:paraId="53B6606B" w14:textId="66257E74" w:rsidR="00A214E9" w:rsidRPr="00386515" w:rsidRDefault="00A214E9" w:rsidP="00A214E9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Global growth will </w:t>
      </w:r>
      <w:r w:rsidR="00EA173E">
        <w:rPr>
          <w:rFonts w:ascii="Lato" w:hAnsi="Lato" w:cstheme="minorHAnsi"/>
          <w:color w:val="auto"/>
          <w:sz w:val="22"/>
          <w:szCs w:val="22"/>
        </w:rPr>
        <w:t>continue the slight downward trend to</w:t>
      </w:r>
      <w:r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386515">
        <w:rPr>
          <w:rFonts w:ascii="Lato" w:hAnsi="Lato" w:cstheme="minorHAnsi"/>
          <w:color w:val="auto"/>
          <w:sz w:val="22"/>
          <w:szCs w:val="22"/>
        </w:rPr>
        <w:t>3.</w:t>
      </w:r>
      <w:r w:rsidR="00EA173E">
        <w:rPr>
          <w:rFonts w:ascii="Lato" w:hAnsi="Lato" w:cstheme="minorHAnsi"/>
          <w:color w:val="auto"/>
          <w:sz w:val="22"/>
          <w:szCs w:val="22"/>
        </w:rPr>
        <w:t>1</w:t>
      </w:r>
      <w:r w:rsidRPr="00386515">
        <w:rPr>
          <w:rFonts w:ascii="Lato" w:hAnsi="Lato" w:cstheme="minorHAnsi"/>
          <w:color w:val="auto"/>
          <w:sz w:val="22"/>
          <w:szCs w:val="22"/>
        </w:rPr>
        <w:t>%</w:t>
      </w:r>
    </w:p>
    <w:p w14:paraId="169DDCF0" w14:textId="126533B5" w:rsidR="00A214E9" w:rsidRPr="00386515" w:rsidRDefault="00A214E9" w:rsidP="00A214E9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Global </w:t>
      </w:r>
      <w:r w:rsidR="00FB5784">
        <w:rPr>
          <w:rFonts w:ascii="Lato" w:hAnsi="Lato" w:cstheme="minorHAnsi"/>
          <w:color w:val="auto"/>
          <w:sz w:val="22"/>
          <w:szCs w:val="22"/>
        </w:rPr>
        <w:t xml:space="preserve">inflation </w:t>
      </w:r>
      <w:r w:rsidR="00FB5784" w:rsidRPr="00FB5784">
        <w:rPr>
          <w:rFonts w:ascii="Lato" w:hAnsi="Lato" w:cstheme="minorHAnsi"/>
          <w:color w:val="auto"/>
          <w:sz w:val="22"/>
          <w:szCs w:val="22"/>
        </w:rPr>
        <w:t>is expected to decline to 4.2</w:t>
      </w:r>
      <w:r w:rsidR="00FB5784">
        <w:rPr>
          <w:rFonts w:ascii="Lato" w:hAnsi="Lato" w:cstheme="minorHAnsi"/>
          <w:color w:val="auto"/>
          <w:sz w:val="22"/>
          <w:szCs w:val="22"/>
        </w:rPr>
        <w:t xml:space="preserve">% </w:t>
      </w:r>
      <w:r w:rsidR="00FB5784" w:rsidRPr="00FB5784">
        <w:rPr>
          <w:rFonts w:ascii="Lato" w:hAnsi="Lato" w:cstheme="minorHAnsi"/>
          <w:color w:val="auto"/>
          <w:sz w:val="22"/>
          <w:szCs w:val="22"/>
        </w:rPr>
        <w:t>in 2025 and to 3.7 percent in 2026</w:t>
      </w:r>
    </w:p>
    <w:p w14:paraId="4131A486" w14:textId="48AD6FA2" w:rsidR="00A214E9" w:rsidRDefault="00A214E9" w:rsidP="00A214E9">
      <w:pPr>
        <w:pStyle w:val="Heading1"/>
        <w:numPr>
          <w:ilvl w:val="0"/>
          <w:numId w:val="1"/>
        </w:numPr>
        <w:tabs>
          <w:tab w:val="num" w:pos="360"/>
        </w:tabs>
        <w:spacing w:before="102" w:line="480" w:lineRule="auto"/>
        <w:ind w:left="1080" w:firstLine="0"/>
        <w:contextualSpacing/>
        <w:rPr>
          <w:rFonts w:ascii="Lato" w:hAnsi="Lato" w:cstheme="minorHAnsi"/>
          <w:color w:val="auto"/>
          <w:sz w:val="22"/>
          <w:szCs w:val="22"/>
        </w:rPr>
      </w:pPr>
      <w:r w:rsidRPr="00386515">
        <w:rPr>
          <w:rFonts w:ascii="Lato" w:hAnsi="Lato" w:cstheme="minorHAnsi"/>
          <w:color w:val="auto"/>
          <w:sz w:val="22"/>
          <w:szCs w:val="22"/>
        </w:rPr>
        <w:t xml:space="preserve">US growth </w:t>
      </w:r>
      <w:r w:rsidR="00EA173E">
        <w:rPr>
          <w:rFonts w:ascii="Lato" w:hAnsi="Lato" w:cstheme="minorHAnsi"/>
          <w:color w:val="auto"/>
          <w:sz w:val="22"/>
          <w:szCs w:val="22"/>
        </w:rPr>
        <w:t xml:space="preserve">will </w:t>
      </w:r>
      <w:r w:rsidR="00E55133">
        <w:rPr>
          <w:rFonts w:ascii="Lato" w:hAnsi="Lato" w:cstheme="minorHAnsi"/>
          <w:color w:val="auto"/>
          <w:sz w:val="22"/>
          <w:szCs w:val="22"/>
        </w:rPr>
        <w:t xml:space="preserve">slightly increase from 2% in </w:t>
      </w:r>
      <w:r w:rsidRPr="00386515">
        <w:rPr>
          <w:rFonts w:ascii="Lato" w:hAnsi="Lato" w:cstheme="minorHAnsi"/>
          <w:color w:val="auto"/>
          <w:sz w:val="22"/>
          <w:szCs w:val="22"/>
        </w:rPr>
        <w:t>2025</w:t>
      </w:r>
      <w:r w:rsidR="00E55133">
        <w:rPr>
          <w:rFonts w:ascii="Lato" w:hAnsi="Lato" w:cstheme="minorHAnsi"/>
          <w:color w:val="auto"/>
          <w:sz w:val="22"/>
          <w:szCs w:val="22"/>
        </w:rPr>
        <w:t xml:space="preserve"> to 2.1% in 2026</w:t>
      </w:r>
    </w:p>
    <w:p w14:paraId="26A4088B" w14:textId="77777777" w:rsidR="00BB2F4E" w:rsidRPr="00BB2F4E" w:rsidRDefault="00BB2F4E" w:rsidP="00BB2F4E"/>
    <w:p w14:paraId="1618EC85" w14:textId="0CB9D1F8" w:rsidR="003F7775" w:rsidRDefault="003F7775" w:rsidP="003F7775">
      <w:pPr>
        <w:pStyle w:val="Heading1"/>
        <w:spacing w:before="102"/>
        <w:contextualSpacing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0109DD">
        <w:rPr>
          <w:rFonts w:ascii="Lato" w:hAnsi="Lato"/>
          <w:b/>
          <w:bCs/>
          <w:color w:val="153D63" w:themeColor="text2" w:themeTint="E6"/>
          <w:sz w:val="32"/>
          <w:szCs w:val="32"/>
        </w:rPr>
        <w:t xml:space="preserve">Workforce </w:t>
      </w:r>
    </w:p>
    <w:p w14:paraId="512AF22C" w14:textId="77777777" w:rsidR="00971F52" w:rsidRPr="00003BD5" w:rsidRDefault="00971F52" w:rsidP="00971F5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</w:p>
    <w:p w14:paraId="55C83078" w14:textId="153253DA" w:rsidR="003F7775" w:rsidRPr="006469F8" w:rsidRDefault="00866BDA" w:rsidP="003F777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  <w:r w:rsidRPr="006469F8">
        <w:rPr>
          <w:rFonts w:ascii="Lato" w:eastAsia="Century Gothic" w:hAnsi="Lato" w:cstheme="minorHAnsi"/>
          <w:sz w:val="22"/>
          <w:szCs w:val="22"/>
        </w:rPr>
        <w:t xml:space="preserve">Unemployment rate is expected to stay </w:t>
      </w:r>
      <w:r w:rsidR="006469F8" w:rsidRPr="006469F8">
        <w:rPr>
          <w:rFonts w:ascii="Lato" w:eastAsia="Century Gothic" w:hAnsi="Lato" w:cstheme="minorHAnsi"/>
          <w:sz w:val="22"/>
          <w:szCs w:val="22"/>
        </w:rPr>
        <w:t xml:space="preserve">roughly </w:t>
      </w:r>
      <w:r w:rsidRPr="006469F8">
        <w:rPr>
          <w:rFonts w:ascii="Lato" w:eastAsia="Century Gothic" w:hAnsi="Lato" w:cstheme="minorHAnsi"/>
          <w:sz w:val="22"/>
          <w:szCs w:val="22"/>
        </w:rPr>
        <w:t>steady</w:t>
      </w:r>
      <w:r w:rsidR="006469F8" w:rsidRPr="006469F8">
        <w:rPr>
          <w:rFonts w:ascii="Lato" w:eastAsia="Century Gothic" w:hAnsi="Lato" w:cstheme="minorHAnsi"/>
          <w:sz w:val="22"/>
          <w:szCs w:val="22"/>
        </w:rPr>
        <w:t xml:space="preserve"> at 4.4% through 2026</w:t>
      </w:r>
      <w:r w:rsidRPr="006469F8">
        <w:rPr>
          <w:rFonts w:ascii="Lato" w:eastAsia="Century Gothic" w:hAnsi="Lato" w:cstheme="minorHAnsi"/>
          <w:sz w:val="22"/>
          <w:szCs w:val="22"/>
        </w:rPr>
        <w:t xml:space="preserve"> </w:t>
      </w:r>
    </w:p>
    <w:p w14:paraId="7BF84009" w14:textId="77777777" w:rsidR="003F7775" w:rsidRPr="00003BD5" w:rsidRDefault="003F7775" w:rsidP="003F777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</w:p>
    <w:p w14:paraId="7DBD8E4E" w14:textId="3457F7C9" w:rsidR="003F7775" w:rsidRPr="00BD3043" w:rsidRDefault="003F7775" w:rsidP="003F777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  <w:r w:rsidRPr="00BD3043">
        <w:rPr>
          <w:rFonts w:ascii="Lato" w:eastAsia="Century Gothic" w:hAnsi="Lato" w:cstheme="minorHAnsi"/>
          <w:sz w:val="22"/>
          <w:szCs w:val="22"/>
        </w:rPr>
        <w:t xml:space="preserve">Look for continued trends of employers </w:t>
      </w:r>
      <w:r w:rsidR="00A732DA" w:rsidRPr="00BD3043">
        <w:rPr>
          <w:rFonts w:ascii="Lato" w:eastAsia="Century Gothic" w:hAnsi="Lato" w:cstheme="minorHAnsi"/>
          <w:sz w:val="22"/>
          <w:szCs w:val="22"/>
        </w:rPr>
        <w:t>being unsettled enough to punt hiring de</w:t>
      </w:r>
      <w:r w:rsidR="00E63461" w:rsidRPr="00BD3043">
        <w:rPr>
          <w:rFonts w:ascii="Lato" w:eastAsia="Century Gothic" w:hAnsi="Lato" w:cstheme="minorHAnsi"/>
          <w:sz w:val="22"/>
          <w:szCs w:val="22"/>
        </w:rPr>
        <w:t>cisions due to the economic outlook</w:t>
      </w:r>
      <w:r w:rsidR="00BD3043">
        <w:rPr>
          <w:rFonts w:ascii="Lato" w:eastAsia="Century Gothic" w:hAnsi="Lato" w:cstheme="minorHAnsi"/>
          <w:sz w:val="22"/>
          <w:szCs w:val="22"/>
        </w:rPr>
        <w:t>,</w:t>
      </w:r>
      <w:r w:rsidR="00E63461" w:rsidRPr="00BD3043">
        <w:rPr>
          <w:rFonts w:ascii="Lato" w:eastAsia="Century Gothic" w:hAnsi="Lato" w:cstheme="minorHAnsi"/>
          <w:sz w:val="22"/>
          <w:szCs w:val="22"/>
        </w:rPr>
        <w:t xml:space="preserve"> but not concerned enough to make </w:t>
      </w:r>
      <w:r w:rsidR="00BD3043" w:rsidRPr="00BD3043">
        <w:rPr>
          <w:rFonts w:ascii="Lato" w:eastAsia="Century Gothic" w:hAnsi="Lato" w:cstheme="minorHAnsi"/>
          <w:sz w:val="22"/>
          <w:szCs w:val="22"/>
        </w:rPr>
        <w:t>significant layoffs</w:t>
      </w:r>
    </w:p>
    <w:p w14:paraId="6C093C0C" w14:textId="19D7EF0E" w:rsidR="003F7775" w:rsidRPr="00003BD5" w:rsidRDefault="003F7775" w:rsidP="003F777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</w:p>
    <w:p w14:paraId="39517FFC" w14:textId="27C48070" w:rsidR="003F7775" w:rsidRPr="00C766D6" w:rsidRDefault="003F7775" w:rsidP="003F777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  <w:r w:rsidRPr="00C766D6">
        <w:rPr>
          <w:rFonts w:ascii="Lato" w:eastAsia="Century Gothic" w:hAnsi="Lato" w:cstheme="minorHAnsi"/>
          <w:sz w:val="22"/>
          <w:szCs w:val="22"/>
        </w:rPr>
        <w:t xml:space="preserve">Labor force in Coweta County continues an overall trend upward at </w:t>
      </w:r>
      <w:r w:rsidR="00154D25" w:rsidRPr="00C766D6">
        <w:rPr>
          <w:rFonts w:ascii="Lato" w:eastAsia="Century Gothic" w:hAnsi="Lato" w:cstheme="minorHAnsi"/>
          <w:sz w:val="22"/>
          <w:szCs w:val="22"/>
        </w:rPr>
        <w:t>82</w:t>
      </w:r>
      <w:r w:rsidR="00A21D4E" w:rsidRPr="00C766D6">
        <w:rPr>
          <w:rFonts w:ascii="Lato" w:eastAsia="Century Gothic" w:hAnsi="Lato" w:cstheme="minorHAnsi"/>
          <w:sz w:val="22"/>
          <w:szCs w:val="22"/>
        </w:rPr>
        <w:t>,</w:t>
      </w:r>
      <w:r w:rsidR="00C766D6" w:rsidRPr="00C766D6">
        <w:rPr>
          <w:rFonts w:ascii="Lato" w:eastAsia="Century Gothic" w:hAnsi="Lato" w:cstheme="minorHAnsi"/>
          <w:sz w:val="22"/>
          <w:szCs w:val="22"/>
        </w:rPr>
        <w:t>756</w:t>
      </w:r>
      <w:r w:rsidR="00A21D4E" w:rsidRPr="00C766D6">
        <w:rPr>
          <w:rFonts w:ascii="Lato" w:eastAsia="Century Gothic" w:hAnsi="Lato" w:cstheme="minorHAnsi"/>
          <w:sz w:val="22"/>
          <w:szCs w:val="22"/>
        </w:rPr>
        <w:t xml:space="preserve"> compared</w:t>
      </w:r>
      <w:r w:rsidR="00390DC6" w:rsidRPr="00C766D6">
        <w:rPr>
          <w:rFonts w:ascii="Lato" w:eastAsia="Century Gothic" w:hAnsi="Lato" w:cstheme="minorHAnsi"/>
          <w:sz w:val="22"/>
          <w:szCs w:val="22"/>
        </w:rPr>
        <w:t xml:space="preserve"> to 79,</w:t>
      </w:r>
      <w:r w:rsidR="00C766D6" w:rsidRPr="00C766D6">
        <w:rPr>
          <w:rFonts w:ascii="Lato" w:eastAsia="Century Gothic" w:hAnsi="Lato" w:cstheme="minorHAnsi"/>
          <w:sz w:val="22"/>
          <w:szCs w:val="22"/>
        </w:rPr>
        <w:t>996</w:t>
      </w:r>
      <w:r w:rsidR="00390DC6" w:rsidRPr="00C766D6">
        <w:rPr>
          <w:rFonts w:ascii="Lato" w:eastAsia="Century Gothic" w:hAnsi="Lato" w:cstheme="minorHAnsi"/>
          <w:sz w:val="22"/>
          <w:szCs w:val="22"/>
        </w:rPr>
        <w:t xml:space="preserve"> in 202</w:t>
      </w:r>
      <w:r w:rsidR="00154D25" w:rsidRPr="00C766D6">
        <w:rPr>
          <w:rFonts w:ascii="Lato" w:eastAsia="Century Gothic" w:hAnsi="Lato" w:cstheme="minorHAnsi"/>
          <w:sz w:val="22"/>
          <w:szCs w:val="22"/>
        </w:rPr>
        <w:t>4</w:t>
      </w:r>
    </w:p>
    <w:p w14:paraId="06A7C87B" w14:textId="77777777" w:rsidR="003F7775" w:rsidRPr="00003BD5" w:rsidRDefault="003F7775" w:rsidP="003F777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Lato" w:eastAsia="Century Gothic" w:hAnsi="Lato" w:cstheme="minorHAnsi"/>
          <w:sz w:val="22"/>
          <w:szCs w:val="22"/>
        </w:rPr>
      </w:pPr>
    </w:p>
    <w:p w14:paraId="4C86D3D0" w14:textId="37721F43" w:rsidR="0008392E" w:rsidRPr="005D461B" w:rsidRDefault="003F7775" w:rsidP="00971F52">
      <w:pPr>
        <w:pStyle w:val="ListParagraph"/>
        <w:numPr>
          <w:ilvl w:val="0"/>
          <w:numId w:val="4"/>
        </w:numPr>
        <w:rPr>
          <w:rFonts w:ascii="Lato" w:hAnsi="Lato"/>
          <w:sz w:val="22"/>
          <w:szCs w:val="22"/>
        </w:rPr>
      </w:pPr>
      <w:r w:rsidRPr="005D461B">
        <w:rPr>
          <w:rFonts w:ascii="Lato" w:eastAsia="Century Gothic" w:hAnsi="Lato" w:cstheme="minorHAnsi"/>
          <w:sz w:val="22"/>
          <w:szCs w:val="22"/>
        </w:rPr>
        <w:t>The unemployment rate in Coweta County</w:t>
      </w:r>
      <w:r w:rsidR="00F54944" w:rsidRPr="005D461B">
        <w:rPr>
          <w:rFonts w:ascii="Lato" w:eastAsia="Century Gothic" w:hAnsi="Lato" w:cstheme="minorHAnsi"/>
          <w:sz w:val="22"/>
          <w:szCs w:val="22"/>
        </w:rPr>
        <w:t xml:space="preserve"> as of November 202</w:t>
      </w:r>
      <w:r w:rsidR="00C766D6" w:rsidRPr="005D461B">
        <w:rPr>
          <w:rFonts w:ascii="Lato" w:eastAsia="Century Gothic" w:hAnsi="Lato" w:cstheme="minorHAnsi"/>
          <w:sz w:val="22"/>
          <w:szCs w:val="22"/>
        </w:rPr>
        <w:t>5</w:t>
      </w:r>
      <w:r w:rsidRPr="005D461B">
        <w:rPr>
          <w:rFonts w:ascii="Lato" w:eastAsia="Century Gothic" w:hAnsi="Lato" w:cstheme="minorHAnsi"/>
          <w:sz w:val="22"/>
          <w:szCs w:val="22"/>
        </w:rPr>
        <w:t xml:space="preserve"> is </w:t>
      </w:r>
      <w:r w:rsidR="002F0D6A" w:rsidRPr="005D461B">
        <w:rPr>
          <w:rFonts w:ascii="Lato" w:eastAsia="Century Gothic" w:hAnsi="Lato" w:cstheme="minorHAnsi"/>
          <w:sz w:val="22"/>
          <w:szCs w:val="22"/>
        </w:rPr>
        <w:t>3.</w:t>
      </w:r>
      <w:r w:rsidR="00C766D6" w:rsidRPr="005D461B">
        <w:rPr>
          <w:rFonts w:ascii="Lato" w:eastAsia="Century Gothic" w:hAnsi="Lato" w:cstheme="minorHAnsi"/>
          <w:sz w:val="22"/>
          <w:szCs w:val="22"/>
        </w:rPr>
        <w:t>1</w:t>
      </w:r>
      <w:r w:rsidRPr="005D461B">
        <w:rPr>
          <w:rFonts w:ascii="Lato" w:eastAsia="Century Gothic" w:hAnsi="Lato" w:cstheme="minorHAnsi"/>
          <w:sz w:val="22"/>
          <w:szCs w:val="22"/>
        </w:rPr>
        <w:t>%</w:t>
      </w:r>
      <w:r w:rsidR="002F0D6A" w:rsidRPr="005D461B">
        <w:rPr>
          <w:rFonts w:ascii="Lato" w:eastAsia="Century Gothic" w:hAnsi="Lato" w:cstheme="minorHAnsi"/>
          <w:sz w:val="22"/>
          <w:szCs w:val="22"/>
        </w:rPr>
        <w:t xml:space="preserve"> compared to the US average of </w:t>
      </w:r>
      <w:r w:rsidR="00EF6CF2" w:rsidRPr="005D461B">
        <w:rPr>
          <w:rFonts w:ascii="Lato" w:eastAsia="Century Gothic" w:hAnsi="Lato" w:cstheme="minorHAnsi"/>
          <w:sz w:val="22"/>
          <w:szCs w:val="22"/>
        </w:rPr>
        <w:t>4.4</w:t>
      </w:r>
      <w:r w:rsidR="002F0D6A" w:rsidRPr="005D461B">
        <w:rPr>
          <w:rFonts w:ascii="Lato" w:eastAsia="Century Gothic" w:hAnsi="Lato" w:cstheme="minorHAnsi"/>
          <w:sz w:val="22"/>
          <w:szCs w:val="22"/>
        </w:rPr>
        <w:t>%</w:t>
      </w:r>
    </w:p>
    <w:p w14:paraId="4398EBD6" w14:textId="77777777" w:rsidR="00005D50" w:rsidRDefault="00005D50" w:rsidP="00971F52">
      <w:pPr>
        <w:pStyle w:val="Heading1"/>
        <w:contextualSpacing/>
        <w:rPr>
          <w:rFonts w:ascii="Lato" w:hAnsi="Lato"/>
          <w:b/>
          <w:bCs/>
          <w:color w:val="153D63" w:themeColor="text2" w:themeTint="E6"/>
          <w:sz w:val="32"/>
          <w:szCs w:val="32"/>
        </w:rPr>
      </w:pPr>
    </w:p>
    <w:p w14:paraId="2D2E0977" w14:textId="2F1E9723" w:rsidR="00971F52" w:rsidRDefault="00971F52" w:rsidP="00971F52">
      <w:pPr>
        <w:pStyle w:val="Heading1"/>
        <w:contextualSpacing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0109DD">
        <w:rPr>
          <w:rFonts w:ascii="Lato" w:hAnsi="Lato"/>
          <w:b/>
          <w:bCs/>
          <w:color w:val="153D63" w:themeColor="text2" w:themeTint="E6"/>
          <w:sz w:val="32"/>
          <w:szCs w:val="32"/>
        </w:rPr>
        <w:t>Office Market Outlook- Fayette/Coweta County</w:t>
      </w:r>
    </w:p>
    <w:p w14:paraId="73CEC015" w14:textId="77777777" w:rsidR="00E4021A" w:rsidRPr="00E4021A" w:rsidRDefault="00E4021A" w:rsidP="00E4021A"/>
    <w:p w14:paraId="3A01167F" w14:textId="4EE86046" w:rsidR="00DD15DF" w:rsidRDefault="00DD15DF" w:rsidP="00DD15DF">
      <w:pPr>
        <w:pStyle w:val="ListParagraph"/>
        <w:numPr>
          <w:ilvl w:val="0"/>
          <w:numId w:val="27"/>
        </w:numPr>
        <w:rPr>
          <w:rFonts w:ascii="Lato" w:hAnsi="Lato"/>
          <w:sz w:val="22"/>
          <w:szCs w:val="22"/>
        </w:rPr>
      </w:pPr>
      <w:r w:rsidRPr="00DD15DF">
        <w:rPr>
          <w:rFonts w:ascii="Lato" w:hAnsi="Lato"/>
          <w:sz w:val="22"/>
          <w:szCs w:val="22"/>
        </w:rPr>
        <w:t>Fayette/Coweta County's vacancy rate of 5.1% compares to the submarket's five-year average of 5.5% and the 10-year average of 6.8%</w:t>
      </w:r>
    </w:p>
    <w:p w14:paraId="24617E54" w14:textId="77777777" w:rsidR="00E4021A" w:rsidRPr="00DD15DF" w:rsidRDefault="00E4021A" w:rsidP="00E4021A">
      <w:pPr>
        <w:pStyle w:val="ListParagraph"/>
        <w:rPr>
          <w:rFonts w:ascii="Lato" w:hAnsi="Lato"/>
          <w:sz w:val="22"/>
          <w:szCs w:val="22"/>
        </w:rPr>
      </w:pPr>
    </w:p>
    <w:p w14:paraId="567061FC" w14:textId="29A7A706" w:rsidR="00E4021A" w:rsidRPr="00DF75DC" w:rsidRDefault="00DF75DC" w:rsidP="00E4021A">
      <w:pPr>
        <w:pStyle w:val="ListParagraph"/>
        <w:numPr>
          <w:ilvl w:val="0"/>
          <w:numId w:val="27"/>
        </w:numPr>
        <w:rPr>
          <w:rFonts w:ascii="Lato" w:hAnsi="Lato"/>
          <w:sz w:val="22"/>
          <w:szCs w:val="22"/>
        </w:rPr>
      </w:pPr>
      <w:r w:rsidRPr="00DF75DC">
        <w:rPr>
          <w:rFonts w:ascii="Lato" w:hAnsi="Lato"/>
          <w:sz w:val="22"/>
          <w:szCs w:val="22"/>
        </w:rPr>
        <w:t>The Fayette/Coweta County office submarket has roughly 400,000 SF of space listed as available, for an availability rate of 5.7%. As of the fourth quarter of 2025, there is 25,000 SF of office space under construction in Fayette/Coweta County</w:t>
      </w:r>
      <w:r w:rsidR="00A137A3">
        <w:rPr>
          <w:rFonts w:ascii="Lato" w:hAnsi="Lato"/>
          <w:sz w:val="22"/>
          <w:szCs w:val="22"/>
        </w:rPr>
        <w:t>.</w:t>
      </w:r>
    </w:p>
    <w:p w14:paraId="1723E0B6" w14:textId="77777777" w:rsidR="00E4021A" w:rsidRPr="00E4021A" w:rsidRDefault="00E4021A" w:rsidP="00E4021A">
      <w:pPr>
        <w:pStyle w:val="ListParagraph"/>
        <w:rPr>
          <w:rFonts w:ascii="Lato" w:hAnsi="Lato"/>
          <w:i/>
          <w:iCs/>
          <w:sz w:val="22"/>
          <w:szCs w:val="22"/>
        </w:rPr>
      </w:pPr>
    </w:p>
    <w:p w14:paraId="7E041735" w14:textId="3E1D6996" w:rsidR="00971F52" w:rsidRDefault="00B56DFC" w:rsidP="00DD15DF">
      <w:pPr>
        <w:pStyle w:val="ListParagraph"/>
        <w:numPr>
          <w:ilvl w:val="0"/>
          <w:numId w:val="27"/>
        </w:numPr>
        <w:rPr>
          <w:rFonts w:ascii="Lato" w:hAnsi="Lato"/>
          <w:sz w:val="22"/>
          <w:szCs w:val="22"/>
        </w:rPr>
      </w:pPr>
      <w:r w:rsidRPr="00DD15DF">
        <w:rPr>
          <w:rFonts w:ascii="Lato" w:hAnsi="Lato"/>
          <w:sz w:val="22"/>
          <w:szCs w:val="22"/>
        </w:rPr>
        <w:t>Average rents in Fayette/Coweta County are roughly $24.00/SF, compared to the wider Atlanta market average of $29.00/SF</w:t>
      </w:r>
    </w:p>
    <w:p w14:paraId="6368BDAF" w14:textId="77777777" w:rsidR="00210B80" w:rsidRPr="00210B80" w:rsidRDefault="00210B80" w:rsidP="00210B80">
      <w:pPr>
        <w:rPr>
          <w:rFonts w:ascii="Lato" w:hAnsi="Lato"/>
          <w:sz w:val="22"/>
          <w:szCs w:val="22"/>
        </w:rPr>
      </w:pPr>
    </w:p>
    <w:p w14:paraId="29E9AA5B" w14:textId="0C1D4F54" w:rsidR="0008392E" w:rsidRPr="00217481" w:rsidRDefault="00327055" w:rsidP="0008392E">
      <w:pPr>
        <w:rPr>
          <w:rFonts w:ascii="Lato" w:eastAsia="Century Gothic" w:hAnsi="Lato" w:cstheme="minorHAnsi"/>
          <w:i/>
          <w:iCs/>
          <w:sz w:val="22"/>
          <w:szCs w:val="22"/>
        </w:rPr>
      </w:pPr>
      <w:r w:rsidRPr="000109DD">
        <w:rPr>
          <w:rFonts w:ascii="Lato" w:hAnsi="Lato"/>
          <w:b/>
          <w:bCs/>
          <w:color w:val="153D63" w:themeColor="text2" w:themeTint="E6"/>
          <w:sz w:val="32"/>
          <w:szCs w:val="32"/>
        </w:rPr>
        <w:t>Industrial Outlook- Fayette/Coweta County</w:t>
      </w:r>
      <w:r w:rsidRPr="000109DD">
        <w:rPr>
          <w:rFonts w:ascii="Lato" w:hAnsi="Lato"/>
          <w:b/>
          <w:bCs/>
          <w:color w:val="365F91"/>
          <w:sz w:val="32"/>
          <w:szCs w:val="32"/>
        </w:rPr>
        <w:br/>
      </w:r>
    </w:p>
    <w:p w14:paraId="4F022220" w14:textId="3F0D301F" w:rsidR="00E4021A" w:rsidRDefault="00FA0A95" w:rsidP="00005D50">
      <w:pPr>
        <w:pStyle w:val="Heading1"/>
        <w:numPr>
          <w:ilvl w:val="0"/>
          <w:numId w:val="23"/>
        </w:numPr>
        <w:spacing w:before="102"/>
        <w:contextualSpacing/>
        <w:rPr>
          <w:rFonts w:ascii="Lato" w:hAnsi="Lato" w:cstheme="minorHAnsi"/>
          <w:color w:val="auto"/>
          <w:sz w:val="22"/>
          <w:szCs w:val="22"/>
        </w:rPr>
      </w:pPr>
      <w:r w:rsidRPr="00FA0A95">
        <w:rPr>
          <w:rFonts w:ascii="Lato" w:hAnsi="Lato" w:cstheme="minorHAnsi"/>
          <w:color w:val="auto"/>
          <w:sz w:val="22"/>
          <w:szCs w:val="22"/>
        </w:rPr>
        <w:t>The Fayette/Coweta County industrial submarket has solidified its position as one of metro Atlanta’s most strategically advantageous distribution nodes, driven by exceptional access to both rail infrastructure and Interstate 85</w:t>
      </w:r>
    </w:p>
    <w:p w14:paraId="13F16E13" w14:textId="77777777" w:rsidR="00E4021A" w:rsidRPr="00E4021A" w:rsidRDefault="00E4021A" w:rsidP="00005D50"/>
    <w:p w14:paraId="03AC8BB6" w14:textId="206F3A60" w:rsidR="00327055" w:rsidRPr="00E47D64" w:rsidRDefault="00E47D64" w:rsidP="00005D50">
      <w:pPr>
        <w:pStyle w:val="Heading1"/>
        <w:numPr>
          <w:ilvl w:val="0"/>
          <w:numId w:val="11"/>
        </w:numPr>
        <w:spacing w:before="102"/>
        <w:contextualSpacing/>
        <w:rPr>
          <w:rFonts w:ascii="Lato" w:hAnsi="Lato" w:cstheme="minorHAnsi"/>
          <w:color w:val="auto"/>
          <w:sz w:val="22"/>
          <w:szCs w:val="22"/>
        </w:rPr>
      </w:pPr>
      <w:r w:rsidRPr="00E47D64">
        <w:rPr>
          <w:rFonts w:ascii="Lato" w:hAnsi="Lato" w:cstheme="minorHAnsi"/>
          <w:color w:val="auto"/>
          <w:sz w:val="22"/>
          <w:szCs w:val="22"/>
        </w:rPr>
        <w:t>Rents have changed by 2.2% over the past year, versus a metro area change of 2.6%.</w:t>
      </w:r>
    </w:p>
    <w:p w14:paraId="0D786AA9" w14:textId="77777777" w:rsidR="00327055" w:rsidRPr="00386515" w:rsidRDefault="00327055" w:rsidP="00327055">
      <w:pPr>
        <w:pStyle w:val="Heading1"/>
        <w:spacing w:before="102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</w:p>
    <w:p w14:paraId="5FA088F2" w14:textId="36F7FF72" w:rsidR="00327055" w:rsidRPr="00FE31EC" w:rsidRDefault="00327055" w:rsidP="00327055">
      <w:pPr>
        <w:pStyle w:val="Heading1"/>
        <w:numPr>
          <w:ilvl w:val="0"/>
          <w:numId w:val="11"/>
        </w:numPr>
        <w:spacing w:before="102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E31EC">
        <w:rPr>
          <w:rFonts w:ascii="Lato" w:hAnsi="Lato" w:cstheme="minorHAnsi"/>
          <w:color w:val="auto"/>
          <w:sz w:val="22"/>
          <w:szCs w:val="22"/>
        </w:rPr>
        <w:t>At $8.</w:t>
      </w:r>
      <w:r w:rsidR="00FE31EC">
        <w:rPr>
          <w:rFonts w:ascii="Lato" w:hAnsi="Lato" w:cstheme="minorHAnsi"/>
          <w:color w:val="auto"/>
          <w:sz w:val="22"/>
          <w:szCs w:val="22"/>
        </w:rPr>
        <w:t>5</w:t>
      </w:r>
      <w:r w:rsidRPr="00FE31EC">
        <w:rPr>
          <w:rFonts w:ascii="Lato" w:hAnsi="Lato" w:cstheme="minorHAnsi"/>
          <w:color w:val="auto"/>
          <w:sz w:val="22"/>
          <w:szCs w:val="22"/>
        </w:rPr>
        <w:t>0/SF (</w:t>
      </w:r>
      <w:r w:rsidR="00FE31EC">
        <w:rPr>
          <w:rFonts w:ascii="Lato" w:hAnsi="Lato" w:cstheme="minorHAnsi"/>
          <w:color w:val="auto"/>
          <w:sz w:val="22"/>
          <w:szCs w:val="22"/>
        </w:rPr>
        <w:t>down</w:t>
      </w:r>
      <w:r w:rsidRPr="00FE31EC">
        <w:rPr>
          <w:rFonts w:ascii="Lato" w:hAnsi="Lato" w:cstheme="minorHAnsi"/>
          <w:color w:val="auto"/>
          <w:sz w:val="22"/>
          <w:szCs w:val="22"/>
        </w:rPr>
        <w:t xml:space="preserve"> from $</w:t>
      </w:r>
      <w:r w:rsidR="00EF2E51" w:rsidRPr="00FE31EC">
        <w:rPr>
          <w:rFonts w:ascii="Lato" w:hAnsi="Lato" w:cstheme="minorHAnsi"/>
          <w:color w:val="auto"/>
          <w:sz w:val="22"/>
          <w:szCs w:val="22"/>
        </w:rPr>
        <w:t>8</w:t>
      </w:r>
      <w:r w:rsidRPr="00FE31EC">
        <w:rPr>
          <w:rFonts w:ascii="Lato" w:hAnsi="Lato" w:cstheme="minorHAnsi"/>
          <w:color w:val="auto"/>
          <w:sz w:val="22"/>
          <w:szCs w:val="22"/>
        </w:rPr>
        <w:t>.</w:t>
      </w:r>
      <w:r w:rsidR="00FE31EC">
        <w:rPr>
          <w:rFonts w:ascii="Lato" w:hAnsi="Lato" w:cstheme="minorHAnsi"/>
          <w:color w:val="auto"/>
          <w:sz w:val="22"/>
          <w:szCs w:val="22"/>
        </w:rPr>
        <w:t>8</w:t>
      </w:r>
      <w:r w:rsidRPr="00FE31EC">
        <w:rPr>
          <w:rFonts w:ascii="Lato" w:hAnsi="Lato" w:cstheme="minorHAnsi"/>
          <w:color w:val="auto"/>
          <w:sz w:val="22"/>
          <w:szCs w:val="22"/>
        </w:rPr>
        <w:t>0/SF last year) overall asking rents are slightly below the metro Atlanta average</w:t>
      </w:r>
    </w:p>
    <w:p w14:paraId="2CB2848E" w14:textId="16700B26" w:rsidR="00327055" w:rsidRPr="00495DAE" w:rsidRDefault="00327055" w:rsidP="00327055">
      <w:pPr>
        <w:pStyle w:val="Heading1"/>
        <w:spacing w:before="102"/>
        <w:ind w:firstLine="45"/>
        <w:contextualSpacing/>
        <w:rPr>
          <w:rFonts w:ascii="Lato" w:hAnsi="Lato" w:cstheme="minorHAnsi"/>
          <w:b/>
          <w:bCs/>
          <w:color w:val="auto"/>
          <w:sz w:val="22"/>
          <w:szCs w:val="22"/>
        </w:rPr>
      </w:pPr>
    </w:p>
    <w:p w14:paraId="1CB13089" w14:textId="09687058" w:rsidR="00971F52" w:rsidRPr="00495DAE" w:rsidRDefault="00495DAE" w:rsidP="00327055">
      <w:pPr>
        <w:pStyle w:val="ListParagraph"/>
        <w:numPr>
          <w:ilvl w:val="0"/>
          <w:numId w:val="11"/>
        </w:numPr>
        <w:rPr>
          <w:rFonts w:ascii="Lato" w:hAnsi="Lato"/>
          <w:sz w:val="22"/>
          <w:szCs w:val="22"/>
        </w:rPr>
      </w:pPr>
      <w:r w:rsidRPr="00495DAE">
        <w:rPr>
          <w:rFonts w:ascii="Lato" w:hAnsi="Lato"/>
          <w:sz w:val="22"/>
          <w:szCs w:val="22"/>
        </w:rPr>
        <w:t>Logistics space, which accounts for 28.0 million SF of the submarket's inventory of 36.3 million SF, has been responsible for 620,000 SF of demand over the past year</w:t>
      </w:r>
    </w:p>
    <w:p w14:paraId="68F14122" w14:textId="77777777" w:rsidR="008B4745" w:rsidRPr="00386515" w:rsidRDefault="008B4745" w:rsidP="008B4745">
      <w:pPr>
        <w:pStyle w:val="ListParagraph"/>
        <w:rPr>
          <w:rFonts w:ascii="Lato" w:hAnsi="Lato"/>
          <w:sz w:val="22"/>
          <w:szCs w:val="22"/>
        </w:rPr>
      </w:pPr>
    </w:p>
    <w:p w14:paraId="3FF65A41" w14:textId="2F7D3C66" w:rsidR="008B4745" w:rsidRPr="00217481" w:rsidRDefault="00217481" w:rsidP="00327055">
      <w:pPr>
        <w:pStyle w:val="ListParagraph"/>
        <w:numPr>
          <w:ilvl w:val="0"/>
          <w:numId w:val="11"/>
        </w:numPr>
        <w:rPr>
          <w:rFonts w:ascii="Lato" w:hAnsi="Lato"/>
          <w:sz w:val="22"/>
          <w:szCs w:val="22"/>
        </w:rPr>
      </w:pPr>
      <w:r w:rsidRPr="00217481">
        <w:rPr>
          <w:rFonts w:ascii="Lato" w:hAnsi="Lato"/>
          <w:sz w:val="22"/>
          <w:szCs w:val="22"/>
        </w:rPr>
        <w:t>Net completions over the past 12 months total 1.6 million SF. Currently, there is 740,000 SF of industrial product underway, or 2.0% of the submarket's inventory.</w:t>
      </w:r>
    </w:p>
    <w:p w14:paraId="05AA571C" w14:textId="77777777" w:rsidR="00D32CF4" w:rsidRPr="00D32CF4" w:rsidRDefault="00D32CF4" w:rsidP="00D32CF4">
      <w:pPr>
        <w:pStyle w:val="ListParagraph"/>
        <w:rPr>
          <w:rFonts w:ascii="Lato" w:hAnsi="Lato"/>
          <w:sz w:val="22"/>
          <w:szCs w:val="22"/>
        </w:rPr>
      </w:pPr>
    </w:p>
    <w:p w14:paraId="7D76A7C3" w14:textId="2BBBB402" w:rsidR="00875473" w:rsidRPr="00932E6B" w:rsidRDefault="00635E96" w:rsidP="00932E6B">
      <w:pPr>
        <w:pStyle w:val="ListParagraph"/>
        <w:numPr>
          <w:ilvl w:val="0"/>
          <w:numId w:val="11"/>
        </w:numPr>
        <w:rPr>
          <w:rFonts w:ascii="Lato" w:hAnsi="Lato"/>
          <w:sz w:val="22"/>
          <w:szCs w:val="22"/>
        </w:rPr>
      </w:pPr>
      <w:r w:rsidRPr="00635E96">
        <w:rPr>
          <w:rFonts w:ascii="Lato" w:hAnsi="Lato"/>
          <w:sz w:val="22"/>
          <w:szCs w:val="22"/>
        </w:rPr>
        <w:t>In addition to its robust logistics presence, the submarket supports a growing manufacturing base. Yamaha Motor Corporation has operated a 518,000-SF facility in Newnan since 1989, while Bonnell Aluminum established its 363,000-SF operation in the area in 2016.</w:t>
      </w:r>
    </w:p>
    <w:p w14:paraId="6682A0DB" w14:textId="77777777" w:rsidR="00932E6B" w:rsidRPr="00932E6B" w:rsidRDefault="00932E6B" w:rsidP="00932E6B"/>
    <w:p w14:paraId="27DF26FD" w14:textId="4C0EE8D6" w:rsidR="00870E1F" w:rsidRPr="000109DD" w:rsidRDefault="00870E1F" w:rsidP="00870E1F">
      <w:pPr>
        <w:pStyle w:val="Heading1"/>
        <w:spacing w:before="102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0109DD">
        <w:rPr>
          <w:rFonts w:ascii="Lato" w:hAnsi="Lato"/>
          <w:b/>
          <w:bCs/>
          <w:color w:val="153D63" w:themeColor="text2" w:themeTint="E6"/>
          <w:sz w:val="32"/>
          <w:szCs w:val="32"/>
        </w:rPr>
        <w:t>Business Development</w:t>
      </w:r>
    </w:p>
    <w:p w14:paraId="42C7CB15" w14:textId="77777777" w:rsidR="00870E1F" w:rsidRPr="00386515" w:rsidRDefault="00870E1F" w:rsidP="00870E1F">
      <w:pPr>
        <w:rPr>
          <w:rFonts w:ascii="Lato" w:hAnsi="Lato"/>
        </w:rPr>
      </w:pPr>
    </w:p>
    <w:p w14:paraId="36E78A8F" w14:textId="29ECFC14" w:rsidR="00870E1F" w:rsidRPr="00386515" w:rsidRDefault="00777146" w:rsidP="00870E1F">
      <w:pPr>
        <w:pStyle w:val="ListParagraph"/>
        <w:widowControl w:val="0"/>
        <w:numPr>
          <w:ilvl w:val="0"/>
          <w:numId w:val="12"/>
        </w:numPr>
        <w:tabs>
          <w:tab w:val="left" w:pos="1189"/>
          <w:tab w:val="left" w:pos="1190"/>
        </w:tabs>
        <w:autoSpaceDE w:val="0"/>
        <w:autoSpaceDN w:val="0"/>
        <w:spacing w:before="1" w:line="242" w:lineRule="auto"/>
        <w:ind w:right="452"/>
        <w:contextualSpacing w:val="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Promote</w:t>
      </w:r>
      <w:r w:rsidR="00870E1F" w:rsidRPr="00386515">
        <w:rPr>
          <w:rFonts w:ascii="Lato" w:hAnsi="Lato" w:cstheme="minorHAnsi"/>
          <w:sz w:val="22"/>
          <w:szCs w:val="22"/>
        </w:rPr>
        <w:t xml:space="preserve"> Coweta County while working with new and existing industries to facilitate the creation of new job opportunities and increase capital investment</w:t>
      </w:r>
    </w:p>
    <w:p w14:paraId="6BBB50D6" w14:textId="417112DA" w:rsidR="00870E1F" w:rsidRPr="00386515" w:rsidRDefault="00870E1F" w:rsidP="00870E1F">
      <w:pPr>
        <w:pStyle w:val="ListParagraph"/>
        <w:widowControl w:val="0"/>
        <w:numPr>
          <w:ilvl w:val="0"/>
          <w:numId w:val="12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Maximize lead generation activities to drive growth in new projects and prospect</w:t>
      </w:r>
      <w:r w:rsidRPr="00386515">
        <w:rPr>
          <w:rFonts w:ascii="Lato" w:hAnsi="Lato" w:cstheme="minorHAnsi"/>
          <w:spacing w:val="-2"/>
          <w:sz w:val="22"/>
          <w:szCs w:val="22"/>
        </w:rPr>
        <w:t xml:space="preserve"> </w:t>
      </w:r>
      <w:r w:rsidRPr="00386515">
        <w:rPr>
          <w:rFonts w:ascii="Lato" w:hAnsi="Lato" w:cstheme="minorHAnsi"/>
          <w:sz w:val="22"/>
          <w:szCs w:val="22"/>
        </w:rPr>
        <w:t>visits</w:t>
      </w:r>
    </w:p>
    <w:p w14:paraId="7E099E8F" w14:textId="102DA073" w:rsidR="00870E1F" w:rsidRPr="00386515" w:rsidRDefault="00870E1F" w:rsidP="00870E1F">
      <w:pPr>
        <w:pStyle w:val="ListParagraph"/>
        <w:widowControl w:val="0"/>
        <w:numPr>
          <w:ilvl w:val="0"/>
          <w:numId w:val="12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Focus on target industries</w:t>
      </w:r>
    </w:p>
    <w:p w14:paraId="34ACA0B4" w14:textId="77777777" w:rsidR="00C32F3A" w:rsidRPr="00386515" w:rsidRDefault="00C32F3A" w:rsidP="00C32F3A">
      <w:pPr>
        <w:tabs>
          <w:tab w:val="left" w:pos="1189"/>
          <w:tab w:val="left" w:pos="1190"/>
        </w:tabs>
        <w:ind w:right="1138"/>
        <w:rPr>
          <w:rFonts w:ascii="Lato" w:hAnsi="Lato"/>
        </w:rPr>
      </w:pPr>
    </w:p>
    <w:p w14:paraId="5D9DD76E" w14:textId="77777777" w:rsidR="00C32F3A" w:rsidRPr="000109DD" w:rsidRDefault="00C32F3A" w:rsidP="00C32F3A">
      <w:pPr>
        <w:pStyle w:val="BodyText"/>
        <w:spacing w:before="3" w:after="1"/>
        <w:ind w:left="0" w:firstLine="0"/>
        <w:rPr>
          <w:rFonts w:ascii="Lato" w:hAnsi="Lato"/>
          <w:b/>
          <w:color w:val="FFFFFF" w:themeColor="background1"/>
          <w:sz w:val="24"/>
          <w:szCs w:val="24"/>
        </w:rPr>
      </w:pPr>
      <w:r w:rsidRPr="000109DD">
        <w:rPr>
          <w:rFonts w:ascii="Lato" w:hAnsi="Lato"/>
          <w:b/>
          <w:color w:val="153D63" w:themeColor="text2" w:themeTint="E6"/>
          <w:sz w:val="24"/>
          <w:szCs w:val="24"/>
        </w:rPr>
        <w:t>Attraction and Expansion</w:t>
      </w:r>
      <w:r w:rsidRPr="000109DD">
        <w:rPr>
          <w:rFonts w:ascii="Lato" w:hAnsi="Lato"/>
          <w:b/>
          <w:color w:val="365F91"/>
          <w:sz w:val="24"/>
          <w:szCs w:val="24"/>
        </w:rPr>
        <w:br/>
      </w:r>
    </w:p>
    <w:tbl>
      <w:tblPr>
        <w:tblW w:w="9690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070"/>
        <w:gridCol w:w="2250"/>
        <w:gridCol w:w="2130"/>
      </w:tblGrid>
      <w:tr w:rsidR="00C32F3A" w:rsidRPr="00386515" w14:paraId="28743FB5" w14:textId="77777777" w:rsidTr="00D54E54">
        <w:trPr>
          <w:trHeight w:val="704"/>
        </w:trPr>
        <w:tc>
          <w:tcPr>
            <w:tcW w:w="3240" w:type="dxa"/>
            <w:tcBorders>
              <w:top w:val="nil"/>
              <w:bottom w:val="single" w:sz="24" w:space="0" w:color="FFFFFF"/>
            </w:tcBorders>
            <w:shd w:val="clear" w:color="auto" w:fill="365F91"/>
          </w:tcPr>
          <w:p w14:paraId="0B5E8017" w14:textId="77777777" w:rsidR="00C32F3A" w:rsidRPr="00386515" w:rsidRDefault="00C32F3A" w:rsidP="00D54E54">
            <w:pPr>
              <w:pStyle w:val="TableParagraph"/>
              <w:spacing w:before="69"/>
              <w:ind w:right="464"/>
              <w:jc w:val="center"/>
              <w:rPr>
                <w:rFonts w:ascii="Lato" w:hAnsi="Lato"/>
                <w:b/>
                <w:color w:val="FFFFFF" w:themeColor="background1"/>
                <w:sz w:val="24"/>
              </w:rPr>
            </w:pPr>
            <w:r w:rsidRPr="00386515">
              <w:rPr>
                <w:rFonts w:ascii="Lato" w:hAnsi="Lato"/>
                <w:b/>
                <w:color w:val="FFFFFF" w:themeColor="background1"/>
                <w:sz w:val="24"/>
              </w:rPr>
              <w:t>Economic Development</w:t>
            </w:r>
          </w:p>
          <w:p w14:paraId="43649FC3" w14:textId="77777777" w:rsidR="00C32F3A" w:rsidRPr="00386515" w:rsidRDefault="00C32F3A" w:rsidP="00D54E54">
            <w:pPr>
              <w:pStyle w:val="TableParagraph"/>
              <w:spacing w:before="69"/>
              <w:ind w:right="464"/>
              <w:jc w:val="center"/>
              <w:rPr>
                <w:rFonts w:ascii="Lato" w:hAnsi="Lato"/>
                <w:b/>
                <w:color w:val="FFFFFF" w:themeColor="background1"/>
                <w:sz w:val="24"/>
              </w:rPr>
            </w:pPr>
            <w:r w:rsidRPr="00386515">
              <w:rPr>
                <w:rFonts w:ascii="Lato" w:hAnsi="Lato"/>
                <w:b/>
                <w:color w:val="FFFFFF" w:themeColor="background1"/>
                <w:sz w:val="24"/>
              </w:rPr>
              <w:t>Outcomes</w:t>
            </w:r>
          </w:p>
        </w:tc>
        <w:tc>
          <w:tcPr>
            <w:tcW w:w="207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0651D888" w14:textId="319E98A5" w:rsidR="00C32F3A" w:rsidRPr="00386515" w:rsidRDefault="00C32F3A" w:rsidP="00D54E54">
            <w:pPr>
              <w:pStyle w:val="TableParagraph"/>
              <w:spacing w:before="2"/>
              <w:ind w:left="0"/>
              <w:jc w:val="center"/>
              <w:rPr>
                <w:rFonts w:ascii="Lato" w:hAnsi="Lato"/>
                <w:b/>
                <w:color w:val="FFFFFF" w:themeColor="background1"/>
                <w:sz w:val="24"/>
              </w:rPr>
            </w:pPr>
            <w:r w:rsidRPr="00386515">
              <w:rPr>
                <w:rFonts w:ascii="Lato" w:hAnsi="Lato"/>
                <w:b/>
                <w:color w:val="FFFFFF" w:themeColor="background1"/>
                <w:sz w:val="24"/>
              </w:rPr>
              <w:t>202</w:t>
            </w:r>
            <w:r w:rsidR="00BB2F4E">
              <w:rPr>
                <w:rFonts w:ascii="Lato" w:hAnsi="Lato"/>
                <w:b/>
                <w:color w:val="FFFFFF" w:themeColor="background1"/>
                <w:sz w:val="24"/>
              </w:rPr>
              <w:t>3</w:t>
            </w:r>
          </w:p>
        </w:tc>
        <w:tc>
          <w:tcPr>
            <w:tcW w:w="225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0CEC80F9" w14:textId="67EE4E28" w:rsidR="00C32F3A" w:rsidRPr="00386515" w:rsidRDefault="00C32F3A" w:rsidP="00D54E54">
            <w:pPr>
              <w:pStyle w:val="TableParagraph"/>
              <w:spacing w:before="69"/>
              <w:ind w:left="142" w:right="208"/>
              <w:jc w:val="center"/>
              <w:rPr>
                <w:rFonts w:ascii="Lato" w:hAnsi="Lato"/>
                <w:b/>
                <w:color w:val="FFFFFF" w:themeColor="background1"/>
                <w:sz w:val="24"/>
              </w:rPr>
            </w:pPr>
            <w:r w:rsidRPr="00386515">
              <w:rPr>
                <w:rFonts w:ascii="Lato" w:hAnsi="Lato"/>
                <w:b/>
                <w:color w:val="FFFFFF" w:themeColor="background1"/>
                <w:sz w:val="24"/>
              </w:rPr>
              <w:t>202</w:t>
            </w:r>
            <w:r w:rsidR="006828EA">
              <w:rPr>
                <w:rFonts w:ascii="Lato" w:hAnsi="Lato"/>
                <w:b/>
                <w:color w:val="FFFFFF" w:themeColor="background1"/>
                <w:sz w:val="24"/>
              </w:rPr>
              <w:t>4</w:t>
            </w:r>
          </w:p>
        </w:tc>
        <w:tc>
          <w:tcPr>
            <w:tcW w:w="213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681C8056" w14:textId="64AB79B0" w:rsidR="00C32F3A" w:rsidRPr="00386515" w:rsidRDefault="00C32F3A" w:rsidP="00D54E54">
            <w:pPr>
              <w:pStyle w:val="TableParagraph"/>
              <w:spacing w:before="69"/>
              <w:ind w:left="142" w:right="208"/>
              <w:jc w:val="center"/>
              <w:rPr>
                <w:rFonts w:ascii="Lato" w:hAnsi="Lato"/>
                <w:b/>
                <w:color w:val="FFFFFF" w:themeColor="background1"/>
                <w:sz w:val="24"/>
              </w:rPr>
            </w:pPr>
            <w:r w:rsidRPr="00386515">
              <w:rPr>
                <w:rFonts w:ascii="Lato" w:hAnsi="Lato"/>
                <w:b/>
                <w:color w:val="FFFFFF" w:themeColor="background1"/>
                <w:sz w:val="24"/>
              </w:rPr>
              <w:t>202</w:t>
            </w:r>
            <w:r w:rsidR="004B76EB">
              <w:rPr>
                <w:rFonts w:ascii="Lato" w:hAnsi="Lato"/>
                <w:b/>
                <w:color w:val="FFFFFF" w:themeColor="background1"/>
                <w:sz w:val="24"/>
              </w:rPr>
              <w:t>5</w:t>
            </w:r>
          </w:p>
        </w:tc>
      </w:tr>
      <w:tr w:rsidR="00C32F3A" w:rsidRPr="00386515" w14:paraId="6D17F30A" w14:textId="77777777" w:rsidTr="00D54E54">
        <w:trPr>
          <w:trHeight w:val="425"/>
        </w:trPr>
        <w:tc>
          <w:tcPr>
            <w:tcW w:w="3240" w:type="dxa"/>
            <w:shd w:val="clear" w:color="auto" w:fill="DBE5F1"/>
          </w:tcPr>
          <w:p w14:paraId="0EBCBBC7" w14:textId="77777777" w:rsidR="00C32F3A" w:rsidRPr="00003BD5" w:rsidRDefault="00C32F3A" w:rsidP="00D54E54">
            <w:pPr>
              <w:pStyle w:val="TableParagraph"/>
              <w:spacing w:before="73"/>
              <w:jc w:val="center"/>
              <w:rPr>
                <w:rFonts w:ascii="Lato" w:hAnsi="Lato"/>
              </w:rPr>
            </w:pPr>
            <w:r w:rsidRPr="00003BD5">
              <w:rPr>
                <w:rFonts w:ascii="Lato" w:hAnsi="Lato"/>
              </w:rPr>
              <w:t>Locations and Expansions</w:t>
            </w:r>
          </w:p>
        </w:tc>
        <w:tc>
          <w:tcPr>
            <w:tcW w:w="2070" w:type="dxa"/>
            <w:shd w:val="clear" w:color="auto" w:fill="DBE5F1"/>
          </w:tcPr>
          <w:p w14:paraId="797C7D88" w14:textId="7D49E161" w:rsidR="00C32F3A" w:rsidRPr="00003BD5" w:rsidRDefault="00BB2F4E" w:rsidP="00D54E54">
            <w:pPr>
              <w:pStyle w:val="TableParagraph"/>
              <w:spacing w:before="73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</w:p>
        </w:tc>
        <w:tc>
          <w:tcPr>
            <w:tcW w:w="2250" w:type="dxa"/>
            <w:shd w:val="clear" w:color="auto" w:fill="DBE5F1"/>
          </w:tcPr>
          <w:p w14:paraId="37E8CC1C" w14:textId="1DBF809C" w:rsidR="00C32F3A" w:rsidRPr="00003BD5" w:rsidRDefault="006828EA" w:rsidP="00D54E54">
            <w:pPr>
              <w:pStyle w:val="TableParagraph"/>
              <w:spacing w:before="73"/>
              <w:ind w:left="195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</w:t>
            </w:r>
          </w:p>
        </w:tc>
        <w:tc>
          <w:tcPr>
            <w:tcW w:w="2130" w:type="dxa"/>
            <w:shd w:val="clear" w:color="auto" w:fill="DBE5F1"/>
          </w:tcPr>
          <w:p w14:paraId="78EB11D4" w14:textId="61E788DB" w:rsidR="00C32F3A" w:rsidRPr="00003BD5" w:rsidRDefault="00CE4367" w:rsidP="00D54E54">
            <w:pPr>
              <w:pStyle w:val="TableParagraph"/>
              <w:spacing w:before="73"/>
              <w:ind w:left="195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8</w:t>
            </w:r>
          </w:p>
        </w:tc>
      </w:tr>
      <w:tr w:rsidR="00C32F3A" w:rsidRPr="00386515" w14:paraId="796B31D5" w14:textId="77777777" w:rsidTr="00D54E54">
        <w:trPr>
          <w:trHeight w:val="709"/>
        </w:trPr>
        <w:tc>
          <w:tcPr>
            <w:tcW w:w="3240" w:type="dxa"/>
            <w:tcBorders>
              <w:bottom w:val="nil"/>
            </w:tcBorders>
            <w:shd w:val="clear" w:color="auto" w:fill="DBE5F1"/>
          </w:tcPr>
          <w:p w14:paraId="4AD3BEBE" w14:textId="77777777" w:rsidR="00C32F3A" w:rsidRPr="00003BD5" w:rsidRDefault="00C32F3A" w:rsidP="00D54E54">
            <w:pPr>
              <w:pStyle w:val="TableParagraph"/>
              <w:spacing w:before="74"/>
              <w:jc w:val="center"/>
              <w:rPr>
                <w:rFonts w:ascii="Lato" w:hAnsi="Lato"/>
              </w:rPr>
            </w:pPr>
            <w:r w:rsidRPr="00003BD5">
              <w:rPr>
                <w:rFonts w:ascii="Lato" w:hAnsi="Lato"/>
              </w:rPr>
              <w:t>Capital Investment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DBE5F1"/>
          </w:tcPr>
          <w:p w14:paraId="38495F75" w14:textId="0E8DE4DD" w:rsidR="00C32F3A" w:rsidRPr="00003BD5" w:rsidRDefault="00C32F3A" w:rsidP="00D54E54">
            <w:pPr>
              <w:pStyle w:val="TableParagraph"/>
              <w:spacing w:before="74"/>
              <w:jc w:val="center"/>
              <w:rPr>
                <w:rFonts w:ascii="Lato" w:hAnsi="Lato"/>
              </w:rPr>
            </w:pPr>
            <w:r w:rsidRPr="00333D78">
              <w:rPr>
                <w:rFonts w:ascii="Lato" w:hAnsi="Lato"/>
              </w:rPr>
              <w:t>$</w:t>
            </w:r>
            <w:r w:rsidR="006828EA" w:rsidRPr="00333D78">
              <w:rPr>
                <w:rFonts w:ascii="Lato" w:hAnsi="Lato"/>
              </w:rPr>
              <w:t xml:space="preserve">57 </w:t>
            </w:r>
            <w:r w:rsidRPr="00333D78">
              <w:rPr>
                <w:rFonts w:ascii="Lato" w:hAnsi="Lato"/>
              </w:rPr>
              <w:t>Million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DBE5F1"/>
          </w:tcPr>
          <w:p w14:paraId="71DFDC93" w14:textId="0C21391F" w:rsidR="00C32F3A" w:rsidRPr="00003BD5" w:rsidRDefault="007A31C1" w:rsidP="00D54E54">
            <w:pPr>
              <w:pStyle w:val="TableParagraph"/>
              <w:spacing w:before="74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N/A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DBE5F1"/>
          </w:tcPr>
          <w:p w14:paraId="341DE1C6" w14:textId="79F40A91" w:rsidR="00C32F3A" w:rsidRPr="00003BD5" w:rsidRDefault="00D619A7" w:rsidP="00D54E54">
            <w:pPr>
              <w:pStyle w:val="TableParagraph"/>
              <w:spacing w:before="74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$141.2 Million</w:t>
            </w:r>
          </w:p>
        </w:tc>
      </w:tr>
      <w:tr w:rsidR="00C32F3A" w:rsidRPr="00386515" w14:paraId="07506088" w14:textId="77777777" w:rsidTr="00D54E54">
        <w:trPr>
          <w:trHeight w:val="503"/>
        </w:trPr>
        <w:tc>
          <w:tcPr>
            <w:tcW w:w="3240" w:type="dxa"/>
            <w:tcBorders>
              <w:bottom w:val="nil"/>
            </w:tcBorders>
            <w:shd w:val="clear" w:color="auto" w:fill="DBE5F1"/>
          </w:tcPr>
          <w:p w14:paraId="2063AE78" w14:textId="77777777" w:rsidR="00C32F3A" w:rsidRPr="00003BD5" w:rsidRDefault="00C32F3A" w:rsidP="00D54E54">
            <w:pPr>
              <w:pStyle w:val="TableParagraph"/>
              <w:spacing w:before="69"/>
              <w:jc w:val="center"/>
              <w:rPr>
                <w:rFonts w:ascii="Lato" w:hAnsi="Lato"/>
              </w:rPr>
            </w:pPr>
            <w:r w:rsidRPr="00003BD5">
              <w:rPr>
                <w:rFonts w:ascii="Lato" w:hAnsi="Lato"/>
              </w:rPr>
              <w:t>Jobs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DBE5F1"/>
          </w:tcPr>
          <w:p w14:paraId="2B28EF43" w14:textId="3D1E49DD" w:rsidR="00C32F3A" w:rsidRPr="00003BD5" w:rsidRDefault="006828EA" w:rsidP="00D54E54">
            <w:pPr>
              <w:pStyle w:val="TableParagraph"/>
              <w:spacing w:before="69"/>
              <w:jc w:val="center"/>
              <w:rPr>
                <w:rFonts w:ascii="Lato" w:hAnsi="Lato"/>
              </w:rPr>
            </w:pPr>
            <w:r w:rsidRPr="00333D78">
              <w:rPr>
                <w:rFonts w:ascii="Lato" w:hAnsi="Lato"/>
              </w:rPr>
              <w:t>192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DBE5F1"/>
          </w:tcPr>
          <w:p w14:paraId="5C6FA39F" w14:textId="0E8118EB" w:rsidR="00C32F3A" w:rsidRPr="00003BD5" w:rsidRDefault="007A31C1" w:rsidP="00D54E54">
            <w:pPr>
              <w:pStyle w:val="TableParagraph"/>
              <w:spacing w:before="69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N/A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DBE5F1"/>
          </w:tcPr>
          <w:p w14:paraId="41E4F323" w14:textId="1CBB93E1" w:rsidR="00C32F3A" w:rsidRPr="00003BD5" w:rsidRDefault="00E910D3" w:rsidP="00D54E54">
            <w:pPr>
              <w:pStyle w:val="TableParagraph"/>
              <w:spacing w:before="69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130</w:t>
            </w:r>
          </w:p>
        </w:tc>
      </w:tr>
    </w:tbl>
    <w:p w14:paraId="3193FA94" w14:textId="77777777" w:rsidR="00C32F3A" w:rsidRPr="00386515" w:rsidRDefault="00C32F3A" w:rsidP="00C32F3A">
      <w:pPr>
        <w:pStyle w:val="BodyText"/>
        <w:spacing w:before="9"/>
        <w:ind w:left="0" w:firstLine="0"/>
        <w:rPr>
          <w:rFonts w:ascii="Lato" w:hAnsi="Lato"/>
          <w:b/>
          <w:color w:val="0F4761" w:themeColor="accent1" w:themeShade="BF"/>
          <w:sz w:val="24"/>
          <w:szCs w:val="24"/>
        </w:rPr>
      </w:pPr>
    </w:p>
    <w:p w14:paraId="1500C9F3" w14:textId="77777777" w:rsidR="00C32F3A" w:rsidRPr="000109DD" w:rsidRDefault="00C32F3A" w:rsidP="00C32F3A">
      <w:pPr>
        <w:pStyle w:val="BodyText"/>
        <w:spacing w:before="3" w:after="1"/>
        <w:ind w:left="0" w:firstLine="0"/>
        <w:rPr>
          <w:rFonts w:ascii="Lato" w:hAnsi="Lato"/>
          <w:b/>
          <w:color w:val="153D63" w:themeColor="text2" w:themeTint="E6"/>
          <w:sz w:val="24"/>
          <w:szCs w:val="24"/>
        </w:rPr>
      </w:pPr>
      <w:r w:rsidRPr="000109DD">
        <w:rPr>
          <w:rFonts w:ascii="Lato" w:hAnsi="Lato"/>
          <w:b/>
          <w:color w:val="153D63" w:themeColor="text2" w:themeTint="E6"/>
          <w:sz w:val="24"/>
          <w:szCs w:val="24"/>
        </w:rPr>
        <w:t>Lead Generation</w:t>
      </w:r>
    </w:p>
    <w:p w14:paraId="5A501C02" w14:textId="77777777" w:rsidR="00C32F3A" w:rsidRPr="00386515" w:rsidRDefault="00C32F3A" w:rsidP="00C32F3A">
      <w:pPr>
        <w:pStyle w:val="BodyText"/>
        <w:spacing w:before="3" w:after="1"/>
        <w:ind w:left="0" w:firstLine="0"/>
        <w:rPr>
          <w:rFonts w:ascii="Lato" w:hAnsi="Lato"/>
          <w:b/>
          <w:color w:val="365F91"/>
          <w:sz w:val="24"/>
          <w:szCs w:val="24"/>
        </w:rPr>
      </w:pPr>
    </w:p>
    <w:tbl>
      <w:tblPr>
        <w:tblW w:w="9690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070"/>
        <w:gridCol w:w="2250"/>
        <w:gridCol w:w="2130"/>
      </w:tblGrid>
      <w:tr w:rsidR="00C32F3A" w:rsidRPr="00386515" w14:paraId="2EDCAF32" w14:textId="77777777" w:rsidTr="00D54E54">
        <w:trPr>
          <w:cantSplit/>
          <w:trHeight w:val="704"/>
        </w:trPr>
        <w:tc>
          <w:tcPr>
            <w:tcW w:w="3240" w:type="dxa"/>
            <w:tcBorders>
              <w:top w:val="nil"/>
              <w:bottom w:val="single" w:sz="24" w:space="0" w:color="FFFFFF"/>
            </w:tcBorders>
            <w:shd w:val="clear" w:color="auto" w:fill="365F91"/>
          </w:tcPr>
          <w:p w14:paraId="4E4F636D" w14:textId="77777777" w:rsidR="00C32F3A" w:rsidRPr="00003BD5" w:rsidRDefault="00C32F3A" w:rsidP="00D54E54">
            <w:pPr>
              <w:pStyle w:val="TableParagraph"/>
              <w:spacing w:before="69"/>
              <w:ind w:right="464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Economic Development</w:t>
            </w:r>
          </w:p>
          <w:p w14:paraId="56A61940" w14:textId="77777777" w:rsidR="00C32F3A" w:rsidRPr="00003BD5" w:rsidRDefault="00C32F3A" w:rsidP="00D54E54">
            <w:pPr>
              <w:pStyle w:val="TableParagraph"/>
              <w:spacing w:before="69"/>
              <w:ind w:right="464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Outcomes</w:t>
            </w:r>
          </w:p>
        </w:tc>
        <w:tc>
          <w:tcPr>
            <w:tcW w:w="207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3D237F1F" w14:textId="00EE43E5" w:rsidR="00C32F3A" w:rsidRPr="00003BD5" w:rsidRDefault="00C32F3A" w:rsidP="00D54E54">
            <w:pPr>
              <w:pStyle w:val="TableParagraph"/>
              <w:spacing w:before="2"/>
              <w:ind w:left="0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202</w:t>
            </w:r>
            <w:r w:rsidR="004B76EB">
              <w:rPr>
                <w:rFonts w:ascii="Lato" w:hAnsi="Lato"/>
                <w:b/>
                <w:color w:val="FFFFFF" w:themeColor="background1"/>
              </w:rPr>
              <w:t>3</w:t>
            </w:r>
          </w:p>
        </w:tc>
        <w:tc>
          <w:tcPr>
            <w:tcW w:w="225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15D09E0F" w14:textId="56FED7F2" w:rsidR="00C32F3A" w:rsidRPr="00003BD5" w:rsidRDefault="00C32F3A" w:rsidP="00D54E54">
            <w:pPr>
              <w:pStyle w:val="TableParagraph"/>
              <w:spacing w:before="69"/>
              <w:ind w:left="142" w:right="208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202</w:t>
            </w:r>
            <w:r w:rsidR="004B76EB">
              <w:rPr>
                <w:rFonts w:ascii="Lato" w:hAnsi="Lato"/>
                <w:b/>
                <w:color w:val="FFFFFF" w:themeColor="background1"/>
              </w:rPr>
              <w:t>4</w:t>
            </w:r>
          </w:p>
        </w:tc>
        <w:tc>
          <w:tcPr>
            <w:tcW w:w="2130" w:type="dxa"/>
            <w:tcBorders>
              <w:top w:val="nil"/>
              <w:bottom w:val="single" w:sz="24" w:space="0" w:color="FFFFFF"/>
            </w:tcBorders>
            <w:shd w:val="clear" w:color="auto" w:fill="365F91"/>
            <w:vAlign w:val="center"/>
          </w:tcPr>
          <w:p w14:paraId="7F4C5819" w14:textId="1B4E6E93" w:rsidR="00C32F3A" w:rsidRPr="00003BD5" w:rsidRDefault="00C32F3A" w:rsidP="00D54E54">
            <w:pPr>
              <w:pStyle w:val="TableParagraph"/>
              <w:spacing w:before="69"/>
              <w:ind w:left="142" w:right="208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202</w:t>
            </w:r>
            <w:r w:rsidR="004B76EB">
              <w:rPr>
                <w:rFonts w:ascii="Lato" w:hAnsi="Lato"/>
                <w:b/>
                <w:color w:val="FFFFFF" w:themeColor="background1"/>
              </w:rPr>
              <w:t>5</w:t>
            </w:r>
          </w:p>
        </w:tc>
      </w:tr>
      <w:tr w:rsidR="00C32F3A" w:rsidRPr="00386515" w14:paraId="6E65DD0F" w14:textId="77777777" w:rsidTr="00D54E54">
        <w:trPr>
          <w:trHeight w:val="425"/>
        </w:trPr>
        <w:tc>
          <w:tcPr>
            <w:tcW w:w="3240" w:type="dxa"/>
            <w:tcBorders>
              <w:top w:val="single" w:sz="24" w:space="0" w:color="FFFFFF"/>
            </w:tcBorders>
            <w:shd w:val="clear" w:color="auto" w:fill="DBE5F1"/>
          </w:tcPr>
          <w:p w14:paraId="6339CB3B" w14:textId="77777777" w:rsidR="00C32F3A" w:rsidRPr="00003BD5" w:rsidRDefault="00C32F3A" w:rsidP="00D54E54">
            <w:pPr>
              <w:pStyle w:val="TableParagraph"/>
              <w:spacing w:before="73"/>
              <w:jc w:val="center"/>
              <w:rPr>
                <w:rFonts w:ascii="Lato" w:hAnsi="Lato"/>
              </w:rPr>
            </w:pPr>
            <w:r w:rsidRPr="00003BD5">
              <w:rPr>
                <w:rFonts w:ascii="Lato" w:hAnsi="Lato"/>
              </w:rPr>
              <w:t>New Projects</w:t>
            </w:r>
          </w:p>
        </w:tc>
        <w:tc>
          <w:tcPr>
            <w:tcW w:w="2070" w:type="dxa"/>
            <w:tcBorders>
              <w:top w:val="single" w:sz="24" w:space="0" w:color="FFFFFF"/>
            </w:tcBorders>
            <w:shd w:val="clear" w:color="auto" w:fill="DBE5F1"/>
          </w:tcPr>
          <w:p w14:paraId="3B368DDF" w14:textId="41AFBE6E" w:rsidR="00C32F3A" w:rsidRPr="00003BD5" w:rsidRDefault="004B76EB" w:rsidP="00D54E54">
            <w:pPr>
              <w:pStyle w:val="TableParagraph"/>
              <w:spacing w:before="73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74</w:t>
            </w:r>
          </w:p>
        </w:tc>
        <w:tc>
          <w:tcPr>
            <w:tcW w:w="2250" w:type="dxa"/>
            <w:tcBorders>
              <w:top w:val="single" w:sz="24" w:space="0" w:color="FFFFFF"/>
            </w:tcBorders>
            <w:shd w:val="clear" w:color="auto" w:fill="DBE5F1"/>
          </w:tcPr>
          <w:p w14:paraId="36ED6C05" w14:textId="5A1B100D" w:rsidR="00C32F3A" w:rsidRPr="00003BD5" w:rsidRDefault="004B76EB" w:rsidP="00D54E54">
            <w:pPr>
              <w:pStyle w:val="TableParagraph"/>
              <w:spacing w:before="73"/>
              <w:ind w:left="195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61</w:t>
            </w:r>
          </w:p>
        </w:tc>
        <w:tc>
          <w:tcPr>
            <w:tcW w:w="2130" w:type="dxa"/>
            <w:tcBorders>
              <w:top w:val="single" w:sz="24" w:space="0" w:color="FFFFFF"/>
            </w:tcBorders>
            <w:shd w:val="clear" w:color="auto" w:fill="DBE5F1"/>
          </w:tcPr>
          <w:p w14:paraId="4D55C4A5" w14:textId="4F9CC2F3" w:rsidR="00C32F3A" w:rsidRPr="00003BD5" w:rsidRDefault="007376CA" w:rsidP="00D54E54">
            <w:pPr>
              <w:pStyle w:val="TableParagraph"/>
              <w:spacing w:before="73"/>
              <w:ind w:left="195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68</w:t>
            </w:r>
          </w:p>
        </w:tc>
      </w:tr>
      <w:tr w:rsidR="00C32F3A" w:rsidRPr="00386515" w14:paraId="3A4D62BD" w14:textId="77777777" w:rsidTr="00D54E54">
        <w:trPr>
          <w:trHeight w:val="709"/>
        </w:trPr>
        <w:tc>
          <w:tcPr>
            <w:tcW w:w="3240" w:type="dxa"/>
            <w:shd w:val="clear" w:color="auto" w:fill="DBE5F1"/>
          </w:tcPr>
          <w:p w14:paraId="54DE7099" w14:textId="77777777" w:rsidR="00C32F3A" w:rsidRPr="00003BD5" w:rsidRDefault="00C32F3A" w:rsidP="00D54E54">
            <w:pPr>
              <w:pStyle w:val="TableParagraph"/>
              <w:spacing w:before="74"/>
              <w:jc w:val="center"/>
              <w:rPr>
                <w:rFonts w:ascii="Lato" w:hAnsi="Lato"/>
              </w:rPr>
            </w:pPr>
            <w:r w:rsidRPr="00003BD5">
              <w:rPr>
                <w:rFonts w:ascii="Lato" w:hAnsi="Lato"/>
              </w:rPr>
              <w:t>Prospect Visits</w:t>
            </w:r>
          </w:p>
        </w:tc>
        <w:tc>
          <w:tcPr>
            <w:tcW w:w="2070" w:type="dxa"/>
            <w:shd w:val="clear" w:color="auto" w:fill="DBE5F1"/>
          </w:tcPr>
          <w:p w14:paraId="74928A00" w14:textId="505A006E" w:rsidR="00C32F3A" w:rsidRPr="00003BD5" w:rsidRDefault="004B76EB" w:rsidP="00D54E54">
            <w:pPr>
              <w:pStyle w:val="TableParagraph"/>
              <w:spacing w:before="74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25</w:t>
            </w:r>
          </w:p>
        </w:tc>
        <w:tc>
          <w:tcPr>
            <w:tcW w:w="2250" w:type="dxa"/>
            <w:shd w:val="clear" w:color="auto" w:fill="DBE5F1"/>
          </w:tcPr>
          <w:p w14:paraId="34C51BD6" w14:textId="09DBDEB6" w:rsidR="00C32F3A" w:rsidRPr="00003BD5" w:rsidRDefault="004B76EB" w:rsidP="00D54E54">
            <w:pPr>
              <w:pStyle w:val="TableParagraph"/>
              <w:spacing w:before="74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25</w:t>
            </w:r>
          </w:p>
        </w:tc>
        <w:tc>
          <w:tcPr>
            <w:tcW w:w="2130" w:type="dxa"/>
            <w:shd w:val="clear" w:color="auto" w:fill="DBE5F1"/>
          </w:tcPr>
          <w:p w14:paraId="08C9A1B5" w14:textId="2E99CDDF" w:rsidR="00C32F3A" w:rsidRPr="00003BD5" w:rsidRDefault="001A3269" w:rsidP="00D54E54">
            <w:pPr>
              <w:pStyle w:val="TableParagraph"/>
              <w:spacing w:before="74"/>
              <w:ind w:left="142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22</w:t>
            </w:r>
          </w:p>
        </w:tc>
      </w:tr>
    </w:tbl>
    <w:p w14:paraId="0474CE60" w14:textId="77777777" w:rsidR="007D4A5A" w:rsidRPr="00386515" w:rsidRDefault="007D4A5A" w:rsidP="004E2350">
      <w:pPr>
        <w:pStyle w:val="BodyText"/>
        <w:ind w:left="0" w:firstLine="0"/>
        <w:rPr>
          <w:rFonts w:ascii="Lato" w:hAnsi="Lato" w:cstheme="minorHAnsi"/>
        </w:rPr>
      </w:pPr>
    </w:p>
    <w:p w14:paraId="09716981" w14:textId="6C17549B" w:rsidR="00913063" w:rsidRPr="00386515" w:rsidRDefault="00913063" w:rsidP="004E2350">
      <w:pPr>
        <w:pStyle w:val="BodyText"/>
        <w:ind w:left="0" w:firstLine="0"/>
        <w:rPr>
          <w:rFonts w:ascii="Lato" w:hAnsi="Lato" w:cstheme="minorHAnsi"/>
        </w:rPr>
      </w:pPr>
      <w:r w:rsidRPr="00386515">
        <w:rPr>
          <w:rFonts w:ascii="Lato" w:hAnsi="Lato" w:cstheme="minorHAnsi"/>
        </w:rPr>
        <w:t>2025 Outreach</w:t>
      </w:r>
    </w:p>
    <w:p w14:paraId="1B659779" w14:textId="77777777" w:rsidR="00913063" w:rsidRPr="00386515" w:rsidRDefault="00913063" w:rsidP="004E2350">
      <w:pPr>
        <w:pStyle w:val="BodyText"/>
        <w:ind w:left="0" w:firstLine="0"/>
        <w:rPr>
          <w:rFonts w:ascii="Lato" w:hAnsi="Lato" w:cstheme="minorHAnsi"/>
        </w:rPr>
      </w:pPr>
    </w:p>
    <w:p w14:paraId="628B402E" w14:textId="77777777" w:rsidR="00913063" w:rsidRPr="0008392E" w:rsidRDefault="00913063" w:rsidP="00913063">
      <w:pPr>
        <w:pStyle w:val="BodyText"/>
        <w:numPr>
          <w:ilvl w:val="0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Site Selector Conferences</w:t>
      </w:r>
    </w:p>
    <w:p w14:paraId="132A2285" w14:textId="1B6CD224" w:rsidR="00913063" w:rsidRPr="0008392E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Site Selectors Guild March 12-14</w:t>
      </w:r>
    </w:p>
    <w:p w14:paraId="527AFAD1" w14:textId="08F2B533" w:rsidR="00913063" w:rsidRPr="0008392E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NextGen Talks </w:t>
      </w:r>
      <w:r w:rsidR="00E23C49" w:rsidRPr="0008392E">
        <w:rPr>
          <w:rFonts w:ascii="Lato" w:hAnsi="Lato" w:cstheme="minorHAnsi"/>
        </w:rPr>
        <w:t>May</w:t>
      </w:r>
      <w:r w:rsidRPr="0008392E">
        <w:rPr>
          <w:rFonts w:ascii="Lato" w:hAnsi="Lato" w:cstheme="minorHAnsi"/>
        </w:rPr>
        <w:t xml:space="preserve"> </w:t>
      </w:r>
      <w:r w:rsidR="00E23C49" w:rsidRPr="0008392E">
        <w:rPr>
          <w:rFonts w:ascii="Lato" w:hAnsi="Lato" w:cstheme="minorHAnsi"/>
        </w:rPr>
        <w:t>5</w:t>
      </w:r>
      <w:r w:rsidRPr="0008392E">
        <w:rPr>
          <w:rFonts w:ascii="Lato" w:hAnsi="Lato" w:cstheme="minorHAnsi"/>
        </w:rPr>
        <w:t>-</w:t>
      </w:r>
      <w:r w:rsidR="00E23C49" w:rsidRPr="0008392E">
        <w:rPr>
          <w:rFonts w:ascii="Lato" w:hAnsi="Lato" w:cstheme="minorHAnsi"/>
        </w:rPr>
        <w:t>7</w:t>
      </w:r>
    </w:p>
    <w:p w14:paraId="52F50E19" w14:textId="4F69BDCA" w:rsidR="00913063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Area Development Consultants Forum June </w:t>
      </w:r>
      <w:r w:rsidR="00F334B8" w:rsidRPr="0008392E">
        <w:rPr>
          <w:rFonts w:ascii="Lato" w:hAnsi="Lato" w:cstheme="minorHAnsi"/>
        </w:rPr>
        <w:t>2</w:t>
      </w:r>
      <w:r w:rsidRPr="0008392E">
        <w:rPr>
          <w:rFonts w:ascii="Lato" w:hAnsi="Lato" w:cstheme="minorHAnsi"/>
        </w:rPr>
        <w:t>-</w:t>
      </w:r>
      <w:r w:rsidR="00222F76" w:rsidRPr="0008392E">
        <w:rPr>
          <w:rFonts w:ascii="Lato" w:hAnsi="Lato" w:cstheme="minorHAnsi"/>
        </w:rPr>
        <w:t>4</w:t>
      </w:r>
    </w:p>
    <w:p w14:paraId="76EC248A" w14:textId="61F61251" w:rsidR="0037459C" w:rsidRDefault="009457E0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NextGen Life Sciences Conference </w:t>
      </w:r>
      <w:r w:rsidR="00F32961">
        <w:rPr>
          <w:rFonts w:ascii="Lato" w:hAnsi="Lato" w:cstheme="minorHAnsi"/>
        </w:rPr>
        <w:t>Sep</w:t>
      </w:r>
      <w:r w:rsidR="00CC5F82">
        <w:rPr>
          <w:rFonts w:ascii="Lato" w:hAnsi="Lato" w:cstheme="minorHAnsi"/>
        </w:rPr>
        <w:t>tember</w:t>
      </w:r>
      <w:r w:rsidR="00F32961">
        <w:rPr>
          <w:rFonts w:ascii="Lato" w:hAnsi="Lato" w:cstheme="minorHAnsi"/>
        </w:rPr>
        <w:t xml:space="preserve"> 8-10</w:t>
      </w:r>
    </w:p>
    <w:p w14:paraId="5F4C1BB3" w14:textId="27A338C9" w:rsidR="006347E0" w:rsidRPr="0008392E" w:rsidRDefault="006347E0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>
        <w:rPr>
          <w:rFonts w:ascii="Lato" w:hAnsi="Lato" w:cstheme="minorHAnsi"/>
        </w:rPr>
        <w:t>NextGen Annie Win ED Conference</w:t>
      </w:r>
      <w:r w:rsidR="00B05C8D">
        <w:rPr>
          <w:rFonts w:ascii="Lato" w:hAnsi="Lato" w:cstheme="minorHAnsi"/>
        </w:rPr>
        <w:t xml:space="preserve"> November 5-7</w:t>
      </w:r>
    </w:p>
    <w:p w14:paraId="6B37AF60" w14:textId="77777777" w:rsidR="00C24C28" w:rsidRDefault="00C24C28" w:rsidP="00C24C28">
      <w:pPr>
        <w:pStyle w:val="BodyText"/>
        <w:ind w:left="0" w:firstLine="0"/>
        <w:rPr>
          <w:rFonts w:ascii="Lato" w:hAnsi="Lato" w:cstheme="minorHAnsi"/>
        </w:rPr>
      </w:pPr>
    </w:p>
    <w:p w14:paraId="1E2ABDAF" w14:textId="11CC71D5" w:rsidR="00913063" w:rsidRPr="0008392E" w:rsidRDefault="00913063" w:rsidP="00913063">
      <w:pPr>
        <w:pStyle w:val="BodyText"/>
        <w:numPr>
          <w:ilvl w:val="0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IAMC</w:t>
      </w:r>
    </w:p>
    <w:p w14:paraId="68BBABED" w14:textId="7D75BE00" w:rsidR="00913063" w:rsidRPr="0008392E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Spring Forum </w:t>
      </w:r>
      <w:r w:rsidR="00D11E33" w:rsidRPr="0008392E">
        <w:rPr>
          <w:rFonts w:ascii="Lato" w:hAnsi="Lato" w:cstheme="minorHAnsi"/>
        </w:rPr>
        <w:t>March</w:t>
      </w:r>
      <w:r w:rsidRPr="0008392E">
        <w:rPr>
          <w:rFonts w:ascii="Lato" w:hAnsi="Lato" w:cstheme="minorHAnsi"/>
        </w:rPr>
        <w:t xml:space="preserve"> </w:t>
      </w:r>
      <w:r w:rsidR="00D11E33" w:rsidRPr="0008392E">
        <w:rPr>
          <w:rFonts w:ascii="Lato" w:hAnsi="Lato" w:cstheme="minorHAnsi"/>
        </w:rPr>
        <w:t>22</w:t>
      </w:r>
      <w:r w:rsidRPr="0008392E">
        <w:rPr>
          <w:rFonts w:ascii="Lato" w:hAnsi="Lato" w:cstheme="minorHAnsi"/>
        </w:rPr>
        <w:t>-</w:t>
      </w:r>
      <w:r w:rsidR="00D11E33" w:rsidRPr="0008392E">
        <w:rPr>
          <w:rFonts w:ascii="Lato" w:hAnsi="Lato" w:cstheme="minorHAnsi"/>
        </w:rPr>
        <w:t>26</w:t>
      </w:r>
    </w:p>
    <w:p w14:paraId="02BF9CA3" w14:textId="747E69F2" w:rsidR="00913063" w:rsidRPr="0008392E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Local in Atlanta July </w:t>
      </w:r>
      <w:r w:rsidR="0003398C" w:rsidRPr="0008392E">
        <w:rPr>
          <w:rFonts w:ascii="Lato" w:hAnsi="Lato" w:cstheme="minorHAnsi"/>
        </w:rPr>
        <w:t>2</w:t>
      </w:r>
      <w:r w:rsidRPr="0008392E">
        <w:rPr>
          <w:rFonts w:ascii="Lato" w:hAnsi="Lato" w:cstheme="minorHAnsi"/>
        </w:rPr>
        <w:t>9</w:t>
      </w:r>
    </w:p>
    <w:p w14:paraId="0BE8BE28" w14:textId="7784F697" w:rsidR="00913063" w:rsidRPr="0008392E" w:rsidRDefault="00913063" w:rsidP="00913063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Fall Forum </w:t>
      </w:r>
      <w:r w:rsidR="00A84A26" w:rsidRPr="0008392E">
        <w:rPr>
          <w:rFonts w:ascii="Lato" w:hAnsi="Lato" w:cstheme="minorHAnsi"/>
        </w:rPr>
        <w:t>October</w:t>
      </w:r>
      <w:r w:rsidRPr="0008392E">
        <w:rPr>
          <w:rFonts w:ascii="Lato" w:hAnsi="Lato" w:cstheme="minorHAnsi"/>
        </w:rPr>
        <w:t xml:space="preserve"> </w:t>
      </w:r>
      <w:r w:rsidR="000B2454" w:rsidRPr="0008392E">
        <w:rPr>
          <w:rFonts w:ascii="Lato" w:hAnsi="Lato" w:cstheme="minorHAnsi"/>
        </w:rPr>
        <w:t>18</w:t>
      </w:r>
      <w:r w:rsidRPr="0008392E">
        <w:rPr>
          <w:rFonts w:ascii="Lato" w:hAnsi="Lato" w:cstheme="minorHAnsi"/>
        </w:rPr>
        <w:t>-</w:t>
      </w:r>
      <w:r w:rsidR="000B2454" w:rsidRPr="0008392E">
        <w:rPr>
          <w:rFonts w:ascii="Lato" w:hAnsi="Lato" w:cstheme="minorHAnsi"/>
        </w:rPr>
        <w:t>22</w:t>
      </w:r>
    </w:p>
    <w:p w14:paraId="7AD3CD10" w14:textId="77777777" w:rsidR="00913063" w:rsidRPr="0008392E" w:rsidRDefault="00913063" w:rsidP="00913063">
      <w:pPr>
        <w:pStyle w:val="BodyText"/>
        <w:numPr>
          <w:ilvl w:val="0"/>
          <w:numId w:val="14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SEDC</w:t>
      </w:r>
    </w:p>
    <w:p w14:paraId="2A6EC90E" w14:textId="5EBD62F0" w:rsidR="00913063" w:rsidRDefault="00694664" w:rsidP="00913063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Site Selection Summit</w:t>
      </w:r>
      <w:r w:rsidR="00913063" w:rsidRPr="0008392E">
        <w:rPr>
          <w:rFonts w:ascii="Lato" w:hAnsi="Lato" w:cstheme="minorHAnsi"/>
        </w:rPr>
        <w:t xml:space="preserve"> April </w:t>
      </w:r>
      <w:r w:rsidRPr="0008392E">
        <w:rPr>
          <w:rFonts w:ascii="Lato" w:hAnsi="Lato" w:cstheme="minorHAnsi"/>
        </w:rPr>
        <w:t>28-30</w:t>
      </w:r>
    </w:p>
    <w:p w14:paraId="2842D7DF" w14:textId="157DAFC2" w:rsidR="0082021D" w:rsidRPr="00C24C28" w:rsidRDefault="008F6291" w:rsidP="00C24C28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>2025 Emerging Leaders Conference December</w:t>
      </w:r>
      <w:r w:rsidR="00C24C28">
        <w:rPr>
          <w:rFonts w:ascii="Lato" w:hAnsi="Lato" w:cstheme="minorHAnsi"/>
        </w:rPr>
        <w:t xml:space="preserve"> 8-10</w:t>
      </w:r>
      <w:r>
        <w:rPr>
          <w:rFonts w:ascii="Lato" w:hAnsi="Lato" w:cstheme="minorHAnsi"/>
        </w:rPr>
        <w:t xml:space="preserve"> </w:t>
      </w:r>
    </w:p>
    <w:p w14:paraId="3528479B" w14:textId="35E817AF" w:rsidR="00913063" w:rsidRPr="0008392E" w:rsidRDefault="0082021D" w:rsidP="00913063">
      <w:pPr>
        <w:pStyle w:val="BodyText"/>
        <w:numPr>
          <w:ilvl w:val="0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GEDA </w:t>
      </w:r>
    </w:p>
    <w:p w14:paraId="654FCD76" w14:textId="00D42700" w:rsidR="00913063" w:rsidRPr="0008392E" w:rsidRDefault="0082021D" w:rsidP="00913063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>Annual Conference</w:t>
      </w:r>
      <w:r w:rsidR="001D16A4" w:rsidRPr="0008392E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September</w:t>
      </w:r>
      <w:r w:rsidR="00CC5F82">
        <w:rPr>
          <w:rFonts w:ascii="Lato" w:hAnsi="Lato" w:cstheme="minorHAnsi"/>
        </w:rPr>
        <w:t xml:space="preserve"> 17-19</w:t>
      </w:r>
      <w:r w:rsidR="00913063" w:rsidRPr="0008392E">
        <w:rPr>
          <w:rFonts w:ascii="Lato" w:hAnsi="Lato" w:cstheme="minorHAnsi"/>
        </w:rPr>
        <w:t xml:space="preserve"> </w:t>
      </w:r>
    </w:p>
    <w:p w14:paraId="1DF9223A" w14:textId="77777777" w:rsidR="00E37E9F" w:rsidRPr="009356FD" w:rsidRDefault="00E37E9F" w:rsidP="00E37E9F">
      <w:pPr>
        <w:pStyle w:val="BodyText"/>
        <w:spacing w:before="9"/>
        <w:ind w:left="0" w:firstLine="0"/>
        <w:rPr>
          <w:rFonts w:ascii="Lato" w:hAnsi="Lato"/>
          <w:b/>
          <w:color w:val="0F4761" w:themeColor="accent1" w:themeShade="BF"/>
        </w:rPr>
      </w:pPr>
    </w:p>
    <w:p w14:paraId="3C822A3B" w14:textId="3D771953" w:rsidR="004B76EB" w:rsidRPr="009D46E1" w:rsidRDefault="009356FD" w:rsidP="00E37E9F">
      <w:pPr>
        <w:pStyle w:val="BodyText"/>
        <w:spacing w:before="9"/>
        <w:ind w:left="0" w:firstLine="0"/>
        <w:rPr>
          <w:rFonts w:ascii="Lato" w:hAnsi="Lato"/>
          <w:bCs/>
        </w:rPr>
      </w:pPr>
      <w:r w:rsidRPr="009D46E1">
        <w:rPr>
          <w:rFonts w:ascii="Lato" w:hAnsi="Lato"/>
          <w:bCs/>
        </w:rPr>
        <w:t>2026 Outreach</w:t>
      </w:r>
    </w:p>
    <w:p w14:paraId="235306A4" w14:textId="77777777" w:rsidR="00BF55FD" w:rsidRPr="00BF55FD" w:rsidRDefault="00BF55FD" w:rsidP="00E37E9F">
      <w:pPr>
        <w:pStyle w:val="BodyText"/>
        <w:spacing w:before="9"/>
        <w:ind w:left="0" w:firstLine="0"/>
        <w:rPr>
          <w:rFonts w:ascii="Lato" w:hAnsi="Lato"/>
          <w:bCs/>
        </w:rPr>
      </w:pPr>
    </w:p>
    <w:p w14:paraId="149E5958" w14:textId="77777777" w:rsidR="00F533EB" w:rsidRPr="0008392E" w:rsidRDefault="00F533EB" w:rsidP="00F533EB">
      <w:pPr>
        <w:pStyle w:val="BodyText"/>
        <w:numPr>
          <w:ilvl w:val="0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Site Selector Conferences</w:t>
      </w:r>
    </w:p>
    <w:p w14:paraId="19D64EC7" w14:textId="34EFD930" w:rsidR="00F533EB" w:rsidRPr="0008392E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Site Selectors Guild March </w:t>
      </w:r>
      <w:r w:rsidR="00BA4768">
        <w:rPr>
          <w:rFonts w:ascii="Lato" w:hAnsi="Lato" w:cstheme="minorHAnsi"/>
        </w:rPr>
        <w:t>23</w:t>
      </w:r>
      <w:r w:rsidRPr="0008392E">
        <w:rPr>
          <w:rFonts w:ascii="Lato" w:hAnsi="Lato" w:cstheme="minorHAnsi"/>
        </w:rPr>
        <w:t>-</w:t>
      </w:r>
      <w:r w:rsidR="00BA4768">
        <w:rPr>
          <w:rFonts w:ascii="Lato" w:hAnsi="Lato" w:cstheme="minorHAnsi"/>
        </w:rPr>
        <w:t>25</w:t>
      </w:r>
    </w:p>
    <w:p w14:paraId="4D98D88C" w14:textId="4A7DCE2D" w:rsidR="00F533EB" w:rsidRPr="0008392E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NextGen Talks </w:t>
      </w:r>
      <w:r w:rsidR="00BC7D05">
        <w:rPr>
          <w:rFonts w:ascii="Lato" w:hAnsi="Lato" w:cstheme="minorHAnsi"/>
        </w:rPr>
        <w:t>April</w:t>
      </w:r>
      <w:r w:rsidRPr="0008392E">
        <w:rPr>
          <w:rFonts w:ascii="Lato" w:hAnsi="Lato" w:cstheme="minorHAnsi"/>
        </w:rPr>
        <w:t xml:space="preserve"> </w:t>
      </w:r>
      <w:r w:rsidR="00ED47CB">
        <w:rPr>
          <w:rFonts w:ascii="Lato" w:hAnsi="Lato" w:cstheme="minorHAnsi"/>
        </w:rPr>
        <w:t>27</w:t>
      </w:r>
      <w:r w:rsidRPr="0008392E">
        <w:rPr>
          <w:rFonts w:ascii="Lato" w:hAnsi="Lato" w:cstheme="minorHAnsi"/>
        </w:rPr>
        <w:t>-</w:t>
      </w:r>
      <w:r w:rsidR="00ED47CB">
        <w:rPr>
          <w:rFonts w:ascii="Lato" w:hAnsi="Lato" w:cstheme="minorHAnsi"/>
        </w:rPr>
        <w:t>29</w:t>
      </w:r>
    </w:p>
    <w:p w14:paraId="7BB84BCC" w14:textId="2B462E1A" w:rsidR="00F533EB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Area Development Consultants Forum </w:t>
      </w:r>
      <w:r w:rsidR="00DE59A2">
        <w:rPr>
          <w:rFonts w:ascii="Lato" w:hAnsi="Lato" w:cstheme="minorHAnsi"/>
        </w:rPr>
        <w:t>May</w:t>
      </w:r>
      <w:r w:rsidRPr="0008392E">
        <w:rPr>
          <w:rFonts w:ascii="Lato" w:hAnsi="Lato" w:cstheme="minorHAnsi"/>
        </w:rPr>
        <w:t xml:space="preserve"> </w:t>
      </w:r>
      <w:r w:rsidR="00DE59A2">
        <w:rPr>
          <w:rFonts w:ascii="Lato" w:hAnsi="Lato" w:cstheme="minorHAnsi"/>
        </w:rPr>
        <w:t>3</w:t>
      </w:r>
      <w:r w:rsidR="007C37D4">
        <w:rPr>
          <w:rFonts w:ascii="Lato" w:hAnsi="Lato" w:cstheme="minorHAnsi"/>
        </w:rPr>
        <w:t>1</w:t>
      </w:r>
      <w:r w:rsidRPr="0008392E">
        <w:rPr>
          <w:rFonts w:ascii="Lato" w:hAnsi="Lato" w:cstheme="minorHAnsi"/>
        </w:rPr>
        <w:t>-</w:t>
      </w:r>
      <w:r w:rsidR="00DE59A2">
        <w:rPr>
          <w:rFonts w:ascii="Lato" w:hAnsi="Lato" w:cstheme="minorHAnsi"/>
        </w:rPr>
        <w:t>2</w:t>
      </w:r>
    </w:p>
    <w:p w14:paraId="6840C240" w14:textId="6A254888" w:rsidR="00F533EB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NextGen Life Sciences Conference </w:t>
      </w:r>
      <w:r w:rsidR="00376D19">
        <w:rPr>
          <w:rFonts w:ascii="Lato" w:hAnsi="Lato" w:cstheme="minorHAnsi"/>
        </w:rPr>
        <w:t>October 26-28</w:t>
      </w:r>
    </w:p>
    <w:p w14:paraId="30AD9068" w14:textId="52D5140C" w:rsidR="00F533EB" w:rsidRPr="00BF55FD" w:rsidRDefault="00F533EB" w:rsidP="00BF55FD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NextGen Annie Win ED Conference </w:t>
      </w:r>
      <w:r w:rsidR="009004FB">
        <w:rPr>
          <w:rFonts w:ascii="Lato" w:hAnsi="Lato" w:cstheme="minorHAnsi"/>
        </w:rPr>
        <w:t xml:space="preserve">August 31 </w:t>
      </w:r>
      <w:r w:rsidR="00210B80">
        <w:rPr>
          <w:rFonts w:ascii="Lato" w:hAnsi="Lato" w:cstheme="minorHAnsi"/>
        </w:rPr>
        <w:t>–</w:t>
      </w:r>
      <w:r w:rsidR="009004FB">
        <w:rPr>
          <w:rFonts w:ascii="Lato" w:hAnsi="Lato" w:cstheme="minorHAnsi"/>
        </w:rPr>
        <w:t xml:space="preserve"> </w:t>
      </w:r>
      <w:r w:rsidR="00210B80">
        <w:rPr>
          <w:rFonts w:ascii="Lato" w:hAnsi="Lato" w:cstheme="minorHAnsi"/>
        </w:rPr>
        <w:t>September 2</w:t>
      </w:r>
    </w:p>
    <w:p w14:paraId="0D89AD31" w14:textId="77777777" w:rsidR="00F533EB" w:rsidRPr="0008392E" w:rsidRDefault="00F533EB" w:rsidP="00F533EB">
      <w:pPr>
        <w:pStyle w:val="BodyText"/>
        <w:numPr>
          <w:ilvl w:val="0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IAMC</w:t>
      </w:r>
    </w:p>
    <w:p w14:paraId="75C5E83F" w14:textId="514A1462" w:rsidR="00F533EB" w:rsidRPr="0008392E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 xml:space="preserve">Spring Forum </w:t>
      </w:r>
      <w:r w:rsidR="00D76A0A">
        <w:rPr>
          <w:rFonts w:ascii="Lato" w:hAnsi="Lato" w:cstheme="minorHAnsi"/>
        </w:rPr>
        <w:t>April</w:t>
      </w:r>
      <w:r w:rsidRPr="0008392E">
        <w:rPr>
          <w:rFonts w:ascii="Lato" w:hAnsi="Lato" w:cstheme="minorHAnsi"/>
        </w:rPr>
        <w:t xml:space="preserve"> </w:t>
      </w:r>
      <w:r w:rsidR="00D76A0A">
        <w:rPr>
          <w:rFonts w:ascii="Lato" w:hAnsi="Lato" w:cstheme="minorHAnsi"/>
        </w:rPr>
        <w:t>18</w:t>
      </w:r>
      <w:r w:rsidRPr="0008392E">
        <w:rPr>
          <w:rFonts w:ascii="Lato" w:hAnsi="Lato" w:cstheme="minorHAnsi"/>
        </w:rPr>
        <w:t>-2</w:t>
      </w:r>
      <w:r w:rsidR="00D76A0A">
        <w:rPr>
          <w:rFonts w:ascii="Lato" w:hAnsi="Lato" w:cstheme="minorHAnsi"/>
        </w:rPr>
        <w:t>2</w:t>
      </w:r>
    </w:p>
    <w:p w14:paraId="704A1FE6" w14:textId="7B18FB4A" w:rsidR="00F533EB" w:rsidRPr="0008392E" w:rsidRDefault="00F533EB" w:rsidP="00F533EB">
      <w:pPr>
        <w:pStyle w:val="BodyText"/>
        <w:numPr>
          <w:ilvl w:val="1"/>
          <w:numId w:val="13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Fall Forum October 1</w:t>
      </w:r>
      <w:r w:rsidR="00017D17">
        <w:rPr>
          <w:rFonts w:ascii="Lato" w:hAnsi="Lato" w:cstheme="minorHAnsi"/>
        </w:rPr>
        <w:t>7</w:t>
      </w:r>
      <w:r w:rsidRPr="0008392E">
        <w:rPr>
          <w:rFonts w:ascii="Lato" w:hAnsi="Lato" w:cstheme="minorHAnsi"/>
        </w:rPr>
        <w:t>-2</w:t>
      </w:r>
      <w:r w:rsidR="00017D17">
        <w:rPr>
          <w:rFonts w:ascii="Lato" w:hAnsi="Lato" w:cstheme="minorHAnsi"/>
        </w:rPr>
        <w:t>1</w:t>
      </w:r>
    </w:p>
    <w:p w14:paraId="66B6A39A" w14:textId="77777777" w:rsidR="00F533EB" w:rsidRPr="0008392E" w:rsidRDefault="00F533EB" w:rsidP="00F533EB">
      <w:pPr>
        <w:pStyle w:val="BodyText"/>
        <w:numPr>
          <w:ilvl w:val="0"/>
          <w:numId w:val="14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SEDC</w:t>
      </w:r>
    </w:p>
    <w:p w14:paraId="07AF3E44" w14:textId="6E3AE24E" w:rsidR="00F533EB" w:rsidRDefault="00F533EB" w:rsidP="00F533EB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 w:rsidRPr="0008392E">
        <w:rPr>
          <w:rFonts w:ascii="Lato" w:hAnsi="Lato" w:cstheme="minorHAnsi"/>
        </w:rPr>
        <w:t>Site Selection Summit April 2</w:t>
      </w:r>
      <w:r w:rsidR="00106848">
        <w:rPr>
          <w:rFonts w:ascii="Lato" w:hAnsi="Lato" w:cstheme="minorHAnsi"/>
        </w:rPr>
        <w:t>7</w:t>
      </w:r>
      <w:r w:rsidRPr="0008392E">
        <w:rPr>
          <w:rFonts w:ascii="Lato" w:hAnsi="Lato" w:cstheme="minorHAnsi"/>
        </w:rPr>
        <w:t>-</w:t>
      </w:r>
      <w:r w:rsidR="00106848">
        <w:rPr>
          <w:rFonts w:ascii="Lato" w:hAnsi="Lato" w:cstheme="minorHAnsi"/>
        </w:rPr>
        <w:t>29</w:t>
      </w:r>
    </w:p>
    <w:p w14:paraId="5973A200" w14:textId="0FE02E6F" w:rsidR="00A77485" w:rsidRDefault="00A77485" w:rsidP="00F533EB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Emerging Leaders </w:t>
      </w:r>
      <w:r w:rsidR="00C30C89">
        <w:rPr>
          <w:rFonts w:ascii="Lato" w:hAnsi="Lato" w:cstheme="minorHAnsi"/>
        </w:rPr>
        <w:t>Conference TBD</w:t>
      </w:r>
    </w:p>
    <w:p w14:paraId="00FC7685" w14:textId="77777777" w:rsidR="00F533EB" w:rsidRPr="0008392E" w:rsidRDefault="00F533EB" w:rsidP="00F533EB">
      <w:pPr>
        <w:pStyle w:val="BodyText"/>
        <w:numPr>
          <w:ilvl w:val="0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GEDA </w:t>
      </w:r>
    </w:p>
    <w:p w14:paraId="72095CE3" w14:textId="77777777" w:rsidR="00005DDB" w:rsidRDefault="00F533EB" w:rsidP="00F533EB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>Annual Conference</w:t>
      </w:r>
      <w:r w:rsidRPr="0008392E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September 1</w:t>
      </w:r>
      <w:r w:rsidR="00005DDB">
        <w:rPr>
          <w:rFonts w:ascii="Lato" w:hAnsi="Lato" w:cstheme="minorHAnsi"/>
        </w:rPr>
        <w:t>6</w:t>
      </w:r>
      <w:r>
        <w:rPr>
          <w:rFonts w:ascii="Lato" w:hAnsi="Lato" w:cstheme="minorHAnsi"/>
        </w:rPr>
        <w:t>-1</w:t>
      </w:r>
      <w:r w:rsidR="00005DDB">
        <w:rPr>
          <w:rFonts w:ascii="Lato" w:hAnsi="Lato" w:cstheme="minorHAnsi"/>
        </w:rPr>
        <w:t>8</w:t>
      </w:r>
    </w:p>
    <w:p w14:paraId="705B8077" w14:textId="7E940330" w:rsidR="00F533EB" w:rsidRPr="0008392E" w:rsidRDefault="00C46983" w:rsidP="00F533EB">
      <w:pPr>
        <w:pStyle w:val="BodyText"/>
        <w:numPr>
          <w:ilvl w:val="1"/>
          <w:numId w:val="14"/>
        </w:numPr>
        <w:rPr>
          <w:rFonts w:ascii="Lato" w:hAnsi="Lato" w:cstheme="minorHAnsi"/>
        </w:rPr>
      </w:pPr>
      <w:r>
        <w:rPr>
          <w:rFonts w:ascii="Lato" w:hAnsi="Lato" w:cstheme="minorHAnsi"/>
        </w:rPr>
        <w:t>Spring Workshop April 29 – May 1</w:t>
      </w:r>
      <w:r w:rsidR="00F533EB" w:rsidRPr="0008392E">
        <w:rPr>
          <w:rFonts w:ascii="Lato" w:hAnsi="Lato" w:cstheme="minorHAnsi"/>
        </w:rPr>
        <w:t xml:space="preserve"> </w:t>
      </w:r>
    </w:p>
    <w:p w14:paraId="3508A1AB" w14:textId="77777777" w:rsidR="00CF11D8" w:rsidRDefault="00CF11D8" w:rsidP="00E37E9F">
      <w:pPr>
        <w:pStyle w:val="BodyText"/>
        <w:spacing w:before="9"/>
        <w:ind w:left="0" w:firstLine="0"/>
        <w:rPr>
          <w:rFonts w:ascii="Lato" w:hAnsi="Lato"/>
          <w:b/>
          <w:color w:val="153D63" w:themeColor="text2" w:themeTint="E6"/>
          <w:sz w:val="24"/>
          <w:szCs w:val="24"/>
        </w:rPr>
      </w:pPr>
    </w:p>
    <w:p w14:paraId="3EC56252" w14:textId="0785D9FE" w:rsidR="00E37E9F" w:rsidRPr="0090430C" w:rsidRDefault="00E37E9F" w:rsidP="00E37E9F">
      <w:pPr>
        <w:pStyle w:val="BodyText"/>
        <w:spacing w:before="9"/>
        <w:ind w:left="0" w:firstLine="0"/>
        <w:rPr>
          <w:rFonts w:ascii="Lato" w:hAnsi="Lato"/>
          <w:b/>
          <w:color w:val="153D63" w:themeColor="text2" w:themeTint="E6"/>
          <w:sz w:val="24"/>
          <w:szCs w:val="24"/>
        </w:rPr>
      </w:pPr>
      <w:r w:rsidRPr="0090430C">
        <w:rPr>
          <w:rFonts w:ascii="Lato" w:hAnsi="Lato"/>
          <w:b/>
          <w:color w:val="153D63" w:themeColor="text2" w:themeTint="E6"/>
          <w:sz w:val="24"/>
          <w:szCs w:val="24"/>
        </w:rPr>
        <w:t>Business Retention and Expansion</w:t>
      </w:r>
    </w:p>
    <w:p w14:paraId="3559B024" w14:textId="77777777" w:rsidR="00E37E9F" w:rsidRDefault="00E37E9F" w:rsidP="00E37E9F">
      <w:pPr>
        <w:pStyle w:val="BodyText"/>
        <w:spacing w:before="9"/>
        <w:ind w:left="0" w:firstLine="0"/>
        <w:rPr>
          <w:rFonts w:ascii="Lato" w:hAnsi="Lato"/>
          <w:b/>
          <w:color w:val="0F4761" w:themeColor="accent1" w:themeShade="BF"/>
          <w:sz w:val="24"/>
          <w:szCs w:val="24"/>
        </w:rPr>
      </w:pPr>
    </w:p>
    <w:tbl>
      <w:tblPr>
        <w:tblW w:w="82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3330"/>
      </w:tblGrid>
      <w:tr w:rsidR="003609E4" w:rsidRPr="00777138" w14:paraId="3D6C77B8" w14:textId="77777777" w:rsidTr="003609E4">
        <w:trPr>
          <w:trHeight w:val="411"/>
        </w:trPr>
        <w:tc>
          <w:tcPr>
            <w:tcW w:w="4950" w:type="dxa"/>
            <w:tcBorders>
              <w:top w:val="nil"/>
              <w:bottom w:val="single" w:sz="24" w:space="0" w:color="FFFFFF"/>
            </w:tcBorders>
            <w:shd w:val="clear" w:color="auto" w:fill="365F91"/>
          </w:tcPr>
          <w:p w14:paraId="4CC73270" w14:textId="77777777" w:rsidR="003609E4" w:rsidRPr="00003BD5" w:rsidRDefault="003609E4" w:rsidP="00937616">
            <w:pPr>
              <w:pStyle w:val="TableParagraph"/>
              <w:spacing w:before="69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Existing Industries</w:t>
            </w:r>
          </w:p>
        </w:tc>
        <w:tc>
          <w:tcPr>
            <w:tcW w:w="3330" w:type="dxa"/>
            <w:tcBorders>
              <w:top w:val="nil"/>
              <w:bottom w:val="single" w:sz="24" w:space="0" w:color="FFFFFF"/>
              <w:right w:val="nil"/>
            </w:tcBorders>
            <w:shd w:val="clear" w:color="auto" w:fill="365F91"/>
          </w:tcPr>
          <w:p w14:paraId="10E6D8F8" w14:textId="078BF3E8" w:rsidR="003609E4" w:rsidRPr="00003BD5" w:rsidRDefault="003609E4" w:rsidP="00937616">
            <w:pPr>
              <w:pStyle w:val="TableParagraph"/>
              <w:spacing w:before="69"/>
              <w:ind w:left="9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202</w:t>
            </w:r>
            <w:r>
              <w:rPr>
                <w:rFonts w:ascii="Lato" w:hAnsi="Lato"/>
                <w:b/>
                <w:color w:val="FFFFFF" w:themeColor="background1"/>
              </w:rPr>
              <w:t>5</w:t>
            </w:r>
          </w:p>
        </w:tc>
      </w:tr>
      <w:tr w:rsidR="003609E4" w14:paraId="3C934781" w14:textId="77777777" w:rsidTr="003609E4">
        <w:trPr>
          <w:trHeight w:val="414"/>
        </w:trPr>
        <w:tc>
          <w:tcPr>
            <w:tcW w:w="4950" w:type="dxa"/>
            <w:tcBorders>
              <w:top w:val="single" w:sz="24" w:space="0" w:color="FFFFFF"/>
            </w:tcBorders>
            <w:shd w:val="clear" w:color="auto" w:fill="DBE5F1"/>
          </w:tcPr>
          <w:p w14:paraId="0539B3E7" w14:textId="77777777" w:rsidR="003609E4" w:rsidRPr="00003BD5" w:rsidRDefault="003609E4" w:rsidP="00937616">
            <w:pPr>
              <w:pStyle w:val="TableParagraph"/>
              <w:spacing w:before="73"/>
              <w:ind w:left="-252" w:right="112"/>
              <w:jc w:val="center"/>
              <w:rPr>
                <w:rFonts w:ascii="Lato" w:hAnsi="Lato"/>
              </w:rPr>
            </w:pPr>
          </w:p>
        </w:tc>
        <w:tc>
          <w:tcPr>
            <w:tcW w:w="3330" w:type="dxa"/>
            <w:tcBorders>
              <w:top w:val="single" w:sz="24" w:space="0" w:color="FFFFFF"/>
              <w:right w:val="nil"/>
            </w:tcBorders>
            <w:shd w:val="clear" w:color="auto" w:fill="DBE5F1"/>
          </w:tcPr>
          <w:p w14:paraId="11B7582C" w14:textId="33DF9EFA" w:rsidR="003609E4" w:rsidRPr="00003BD5" w:rsidRDefault="003609E4" w:rsidP="00937616">
            <w:pPr>
              <w:pStyle w:val="TableParagraph"/>
              <w:spacing w:before="73"/>
              <w:ind w:left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50 </w:t>
            </w:r>
          </w:p>
        </w:tc>
      </w:tr>
    </w:tbl>
    <w:p w14:paraId="792AECF6" w14:textId="77777777" w:rsidR="00E37E9F" w:rsidRDefault="00E37E9F" w:rsidP="00E37E9F">
      <w:pPr>
        <w:pStyle w:val="BodyText"/>
        <w:spacing w:before="10"/>
        <w:ind w:left="0" w:firstLine="0"/>
        <w:rPr>
          <w:b/>
          <w:sz w:val="23"/>
        </w:rPr>
      </w:pPr>
    </w:p>
    <w:p w14:paraId="7ED1960B" w14:textId="1D2ACB41" w:rsidR="00E37E9F" w:rsidRPr="00386515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Proactively engage and build meaningful relationships with existing industries for the purpose of business retention and growth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49762DCA" w14:textId="4813081B" w:rsidR="00E37E9F" w:rsidRPr="00386515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Collaborate with local, regional and state organizations to provide a customized response for a solution to individual business’ needs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55C779B8" w14:textId="01BB205A" w:rsidR="00E37E9F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Represent CCDA/DACC through participation in, or facilitation of local, regional and state working groups, boards, and/or committees. Through these efforts, CCDA/DACC will raise awareness of industry challenges and address unique solutions to workforce, permitting, supply chain, community and expansion issues</w:t>
      </w:r>
      <w:r w:rsidR="0005281C">
        <w:rPr>
          <w:rFonts w:ascii="Lato" w:hAnsi="Lato" w:cstheme="minorHAnsi"/>
          <w:sz w:val="22"/>
          <w:szCs w:val="22"/>
        </w:rPr>
        <w:t>.</w:t>
      </w:r>
    </w:p>
    <w:p w14:paraId="31F59AB2" w14:textId="77777777" w:rsidR="00C51FF0" w:rsidRPr="00386515" w:rsidRDefault="00C51FF0" w:rsidP="00C51FF0">
      <w:pPr>
        <w:pStyle w:val="ListParagraph"/>
        <w:widowControl w:val="0"/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</w:p>
    <w:p w14:paraId="609571CA" w14:textId="02028640" w:rsidR="00E37E9F" w:rsidRPr="00386515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Work with partners to explore solutions to industry-wide concerns such as retention of workforce, transportation and training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603B4C70" w14:textId="530F0368" w:rsidR="00E37E9F" w:rsidRPr="00386515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lastRenderedPageBreak/>
        <w:t>Increase number of communications shared with industry contacts, serving as a reminder of how CCDA/DACC can support individual companies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7D7F5FCF" w14:textId="62924057" w:rsidR="0008392E" w:rsidRPr="00210B80" w:rsidRDefault="00E37E9F" w:rsidP="00E37E9F">
      <w:pPr>
        <w:pStyle w:val="ListParagraph"/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Focus on creating or strengthening business partnerships between employers and our K-12 school system, Central Education Center, West Georgia Technical College and regional four-year colleges and universities</w:t>
      </w:r>
    </w:p>
    <w:p w14:paraId="72C0CE68" w14:textId="77777777" w:rsidR="0008392E" w:rsidRDefault="0008392E" w:rsidP="00E37E9F">
      <w:pPr>
        <w:tabs>
          <w:tab w:val="left" w:pos="1189"/>
          <w:tab w:val="left" w:pos="1190"/>
        </w:tabs>
        <w:ind w:right="1138"/>
        <w:rPr>
          <w:rFonts w:ascii="Mostra Nuova Light" w:hAnsi="Mostra Nuova Light"/>
        </w:rPr>
      </w:pPr>
    </w:p>
    <w:tbl>
      <w:tblPr>
        <w:tblW w:w="82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3"/>
        <w:gridCol w:w="3187"/>
      </w:tblGrid>
      <w:tr w:rsidR="003609E4" w:rsidRPr="00777138" w14:paraId="48006C3A" w14:textId="77777777" w:rsidTr="003609E4">
        <w:trPr>
          <w:trHeight w:val="482"/>
        </w:trPr>
        <w:tc>
          <w:tcPr>
            <w:tcW w:w="5093" w:type="dxa"/>
            <w:tcBorders>
              <w:top w:val="nil"/>
              <w:bottom w:val="single" w:sz="24" w:space="0" w:color="FFFFFF"/>
            </w:tcBorders>
            <w:shd w:val="clear" w:color="auto" w:fill="365F91"/>
          </w:tcPr>
          <w:p w14:paraId="1B0B57E8" w14:textId="77777777" w:rsidR="003609E4" w:rsidRPr="00003BD5" w:rsidRDefault="003609E4" w:rsidP="00937616">
            <w:pPr>
              <w:pStyle w:val="TableParagraph"/>
              <w:spacing w:before="69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Stakeholder Engagement</w:t>
            </w:r>
          </w:p>
        </w:tc>
        <w:tc>
          <w:tcPr>
            <w:tcW w:w="3187" w:type="dxa"/>
            <w:tcBorders>
              <w:top w:val="nil"/>
              <w:bottom w:val="single" w:sz="24" w:space="0" w:color="FFFFFF"/>
              <w:right w:val="nil"/>
            </w:tcBorders>
            <w:shd w:val="clear" w:color="auto" w:fill="365F91"/>
          </w:tcPr>
          <w:p w14:paraId="1D3818E7" w14:textId="79957BD4" w:rsidR="003609E4" w:rsidRPr="00003BD5" w:rsidRDefault="003609E4" w:rsidP="00937616">
            <w:pPr>
              <w:pStyle w:val="TableParagraph"/>
              <w:spacing w:before="69"/>
              <w:ind w:left="9"/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003BD5">
              <w:rPr>
                <w:rFonts w:ascii="Lato" w:hAnsi="Lato"/>
                <w:b/>
                <w:color w:val="FFFFFF" w:themeColor="background1"/>
              </w:rPr>
              <w:t>202</w:t>
            </w:r>
            <w:r>
              <w:rPr>
                <w:rFonts w:ascii="Lato" w:hAnsi="Lato"/>
                <w:b/>
                <w:color w:val="FFFFFF" w:themeColor="background1"/>
              </w:rPr>
              <w:t>5</w:t>
            </w:r>
          </w:p>
        </w:tc>
      </w:tr>
      <w:tr w:rsidR="003609E4" w:rsidRPr="00777138" w14:paraId="58FA09DB" w14:textId="77777777" w:rsidTr="003609E4">
        <w:trPr>
          <w:trHeight w:val="486"/>
        </w:trPr>
        <w:tc>
          <w:tcPr>
            <w:tcW w:w="5093" w:type="dxa"/>
            <w:tcBorders>
              <w:top w:val="single" w:sz="24" w:space="0" w:color="FFFFFF"/>
            </w:tcBorders>
            <w:shd w:val="clear" w:color="auto" w:fill="DBE5F1"/>
          </w:tcPr>
          <w:p w14:paraId="5344DA04" w14:textId="77777777" w:rsidR="003609E4" w:rsidRPr="00003BD5" w:rsidRDefault="003609E4" w:rsidP="00937616">
            <w:pPr>
              <w:pStyle w:val="TableParagraph"/>
              <w:spacing w:before="73"/>
              <w:ind w:left="-252" w:right="112"/>
              <w:jc w:val="center"/>
              <w:rPr>
                <w:rFonts w:ascii="Lato" w:hAnsi="Lato"/>
              </w:rPr>
            </w:pPr>
          </w:p>
        </w:tc>
        <w:tc>
          <w:tcPr>
            <w:tcW w:w="3187" w:type="dxa"/>
            <w:tcBorders>
              <w:top w:val="single" w:sz="24" w:space="0" w:color="FFFFFF"/>
              <w:right w:val="nil"/>
            </w:tcBorders>
            <w:shd w:val="clear" w:color="auto" w:fill="DBE5F1"/>
          </w:tcPr>
          <w:p w14:paraId="136CA957" w14:textId="31525DCA" w:rsidR="003609E4" w:rsidRPr="00003BD5" w:rsidRDefault="003609E4" w:rsidP="00937616">
            <w:pPr>
              <w:pStyle w:val="TableParagraph"/>
              <w:spacing w:before="73"/>
              <w:ind w:left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217</w:t>
            </w:r>
          </w:p>
        </w:tc>
      </w:tr>
    </w:tbl>
    <w:p w14:paraId="6F55DBDA" w14:textId="77777777" w:rsidR="00E37E9F" w:rsidRPr="00210B80" w:rsidRDefault="00E37E9F" w:rsidP="00210B80">
      <w:pPr>
        <w:tabs>
          <w:tab w:val="left" w:pos="1189"/>
          <w:tab w:val="left" w:pos="1190"/>
        </w:tabs>
        <w:ind w:right="1138"/>
        <w:rPr>
          <w:rFonts w:ascii="Symbol" w:hAnsi="Symbol"/>
        </w:rPr>
      </w:pPr>
    </w:p>
    <w:p w14:paraId="4BE02C63" w14:textId="220C4990" w:rsidR="00E37E9F" w:rsidRPr="00386515" w:rsidRDefault="00E37E9F" w:rsidP="00E37E9F">
      <w:pPr>
        <w:pStyle w:val="ListParagraph"/>
        <w:widowControl w:val="0"/>
        <w:numPr>
          <w:ilvl w:val="0"/>
          <w:numId w:val="17"/>
        </w:numPr>
        <w:tabs>
          <w:tab w:val="left" w:pos="1189"/>
          <w:tab w:val="left" w:pos="1190"/>
        </w:tabs>
        <w:autoSpaceDE w:val="0"/>
        <w:autoSpaceDN w:val="0"/>
        <w:ind w:right="1138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Improve communication of target sectors with partners/allies, consultants, brokers and companies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7213A4E8" w14:textId="6664062F" w:rsidR="00E37E9F" w:rsidRPr="00386515" w:rsidRDefault="00E37E9F" w:rsidP="00E37E9F">
      <w:pPr>
        <w:pStyle w:val="ListParagraph"/>
        <w:widowControl w:val="0"/>
        <w:numPr>
          <w:ilvl w:val="0"/>
          <w:numId w:val="17"/>
        </w:numPr>
        <w:tabs>
          <w:tab w:val="left" w:pos="1189"/>
          <w:tab w:val="left" w:pos="1190"/>
        </w:tabs>
        <w:autoSpaceDE w:val="0"/>
        <w:autoSpaceDN w:val="0"/>
        <w:spacing w:before="89"/>
        <w:ind w:right="1432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Continue to build strong relationships with statewide economic development project managers, site selection consultants and local, regional and national real estate brokers</w:t>
      </w:r>
      <w:r w:rsidRPr="00386515">
        <w:rPr>
          <w:rFonts w:ascii="Lato" w:hAnsi="Lato" w:cstheme="minorHAnsi"/>
          <w:sz w:val="22"/>
          <w:szCs w:val="22"/>
        </w:rPr>
        <w:br/>
      </w:r>
    </w:p>
    <w:p w14:paraId="0EFB7746" w14:textId="73EF2264" w:rsidR="00932E6B" w:rsidRPr="00F71361" w:rsidRDefault="00E37E9F" w:rsidP="00F71361">
      <w:pPr>
        <w:pStyle w:val="ListParagraph"/>
        <w:widowControl w:val="0"/>
        <w:numPr>
          <w:ilvl w:val="0"/>
          <w:numId w:val="17"/>
        </w:numPr>
        <w:tabs>
          <w:tab w:val="left" w:pos="1189"/>
          <w:tab w:val="left" w:pos="1190"/>
        </w:tabs>
        <w:autoSpaceDE w:val="0"/>
        <w:autoSpaceDN w:val="0"/>
        <w:spacing w:line="242" w:lineRule="auto"/>
        <w:ind w:right="969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Continue promotion</w:t>
      </w:r>
      <w:r w:rsidR="00F07CAE" w:rsidRPr="00386515">
        <w:rPr>
          <w:rFonts w:ascii="Lato" w:hAnsi="Lato" w:cstheme="minorHAnsi"/>
          <w:sz w:val="22"/>
          <w:szCs w:val="22"/>
        </w:rPr>
        <w:t xml:space="preserve"> </w:t>
      </w:r>
      <w:r w:rsidR="000754BB" w:rsidRPr="00386515">
        <w:rPr>
          <w:rFonts w:ascii="Lato" w:hAnsi="Lato" w:cstheme="minorHAnsi"/>
          <w:sz w:val="22"/>
          <w:szCs w:val="22"/>
        </w:rPr>
        <w:t>of</w:t>
      </w:r>
      <w:r w:rsidRPr="00386515">
        <w:rPr>
          <w:rFonts w:ascii="Lato" w:hAnsi="Lato" w:cstheme="minorHAnsi"/>
          <w:sz w:val="22"/>
          <w:szCs w:val="22"/>
        </w:rPr>
        <w:t xml:space="preserve"> the Regional Joint Development Authority with Fayette County and Meriwether County</w:t>
      </w:r>
    </w:p>
    <w:p w14:paraId="675D431B" w14:textId="77777777" w:rsidR="00F71361" w:rsidRDefault="00F71361" w:rsidP="00B64129">
      <w:pPr>
        <w:tabs>
          <w:tab w:val="left" w:pos="1189"/>
          <w:tab w:val="left" w:pos="1190"/>
        </w:tabs>
        <w:ind w:right="1138"/>
        <w:rPr>
          <w:rFonts w:ascii="Lato" w:hAnsi="Lato"/>
          <w:b/>
          <w:bCs/>
          <w:color w:val="153D63" w:themeColor="text2" w:themeTint="E6"/>
          <w:sz w:val="32"/>
          <w:szCs w:val="32"/>
        </w:rPr>
      </w:pPr>
    </w:p>
    <w:p w14:paraId="0090EBA1" w14:textId="39BECA22" w:rsidR="00B64129" w:rsidRPr="00EB3A33" w:rsidRDefault="00C77B9C" w:rsidP="00B64129">
      <w:pPr>
        <w:tabs>
          <w:tab w:val="left" w:pos="1189"/>
          <w:tab w:val="left" w:pos="1190"/>
        </w:tabs>
        <w:ind w:right="1138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EB3A33">
        <w:rPr>
          <w:rFonts w:ascii="Lato" w:hAnsi="Lato"/>
          <w:b/>
          <w:bCs/>
          <w:color w:val="153D63" w:themeColor="text2" w:themeTint="E6"/>
          <w:sz w:val="32"/>
          <w:szCs w:val="32"/>
        </w:rPr>
        <w:t xml:space="preserve">Personnel </w:t>
      </w:r>
    </w:p>
    <w:p w14:paraId="38AF996D" w14:textId="77777777" w:rsidR="00B64129" w:rsidRPr="00B64129" w:rsidRDefault="00B64129" w:rsidP="00B64129">
      <w:pPr>
        <w:widowControl w:val="0"/>
        <w:tabs>
          <w:tab w:val="left" w:pos="1189"/>
          <w:tab w:val="left" w:pos="1190"/>
        </w:tabs>
        <w:autoSpaceDE w:val="0"/>
        <w:autoSpaceDN w:val="0"/>
        <w:spacing w:line="242" w:lineRule="auto"/>
        <w:ind w:right="1176"/>
        <w:rPr>
          <w:rFonts w:ascii="Lato" w:hAnsi="Lato" w:cstheme="minorHAnsi"/>
          <w:sz w:val="22"/>
          <w:szCs w:val="22"/>
        </w:rPr>
      </w:pPr>
    </w:p>
    <w:p w14:paraId="5BEE494F" w14:textId="4355411C" w:rsidR="00C77B9C" w:rsidRPr="00386515" w:rsidRDefault="00C77B9C" w:rsidP="00C77B9C">
      <w:pPr>
        <w:pStyle w:val="ListParagraph"/>
        <w:widowControl w:val="0"/>
        <w:numPr>
          <w:ilvl w:val="0"/>
          <w:numId w:val="18"/>
        </w:numPr>
        <w:tabs>
          <w:tab w:val="left" w:pos="1189"/>
          <w:tab w:val="left" w:pos="1190"/>
        </w:tabs>
        <w:autoSpaceDE w:val="0"/>
        <w:autoSpaceDN w:val="0"/>
        <w:spacing w:line="242" w:lineRule="auto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Continue to attend programs, webinars and conferences that allow staff opportunities to continue their education and knowledge of economic development</w:t>
      </w:r>
    </w:p>
    <w:p w14:paraId="5F7F47F8" w14:textId="77777777" w:rsidR="00C77B9C" w:rsidRPr="00386515" w:rsidRDefault="00C77B9C" w:rsidP="00C77B9C">
      <w:pPr>
        <w:pStyle w:val="ListParagraph"/>
        <w:widowControl w:val="0"/>
        <w:numPr>
          <w:ilvl w:val="1"/>
          <w:numId w:val="18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Georgia Economic Development Association membership</w:t>
      </w:r>
    </w:p>
    <w:p w14:paraId="30F8E0FE" w14:textId="77777777" w:rsidR="00C77B9C" w:rsidRPr="00386515" w:rsidRDefault="00C77B9C" w:rsidP="00C77B9C">
      <w:pPr>
        <w:pStyle w:val="ListParagraph"/>
        <w:widowControl w:val="0"/>
        <w:numPr>
          <w:ilvl w:val="1"/>
          <w:numId w:val="18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Southern Economic Development Association membership</w:t>
      </w:r>
    </w:p>
    <w:p w14:paraId="4E2AF2AD" w14:textId="077966E0" w:rsidR="00210B80" w:rsidRPr="00210B80" w:rsidRDefault="00C77B9C" w:rsidP="00210B80">
      <w:pPr>
        <w:pStyle w:val="BodyText"/>
        <w:numPr>
          <w:ilvl w:val="1"/>
          <w:numId w:val="18"/>
        </w:numPr>
        <w:rPr>
          <w:rFonts w:ascii="Lato" w:hAnsi="Lato" w:cstheme="minorHAnsi"/>
        </w:rPr>
      </w:pPr>
      <w:r w:rsidRPr="00386515">
        <w:rPr>
          <w:rFonts w:ascii="Lato" w:hAnsi="Lato" w:cstheme="minorHAnsi"/>
        </w:rPr>
        <w:t>International Economic Development Council membership</w:t>
      </w:r>
    </w:p>
    <w:p w14:paraId="4496A812" w14:textId="77777777" w:rsidR="00FC0D2A" w:rsidRDefault="00FC0D2A" w:rsidP="00386515">
      <w:pPr>
        <w:pStyle w:val="Heading3"/>
        <w:spacing w:before="100" w:after="20"/>
        <w:rPr>
          <w:rFonts w:ascii="Lato" w:hAnsi="Lato"/>
          <w:b/>
          <w:bCs/>
          <w:color w:val="153D63" w:themeColor="text2" w:themeTint="E6"/>
          <w:sz w:val="32"/>
          <w:szCs w:val="32"/>
        </w:rPr>
      </w:pPr>
    </w:p>
    <w:p w14:paraId="72AC644D" w14:textId="46123C0D" w:rsidR="00386515" w:rsidRPr="00EB3A33" w:rsidRDefault="00386515" w:rsidP="00386515">
      <w:pPr>
        <w:pStyle w:val="Heading3"/>
        <w:spacing w:before="100" w:after="20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EB3A33">
        <w:rPr>
          <w:rFonts w:ascii="Lato" w:hAnsi="Lato"/>
          <w:b/>
          <w:bCs/>
          <w:color w:val="153D63" w:themeColor="text2" w:themeTint="E6"/>
          <w:sz w:val="32"/>
          <w:szCs w:val="32"/>
        </w:rPr>
        <w:t>Sources</w:t>
      </w:r>
    </w:p>
    <w:p w14:paraId="6BEDB565" w14:textId="77777777" w:rsidR="00777146" w:rsidRPr="00777146" w:rsidRDefault="00777146" w:rsidP="00777146"/>
    <w:p w14:paraId="5A90CAD8" w14:textId="77777777" w:rsidR="00386515" w:rsidRPr="00386515" w:rsidRDefault="00386515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International Monetary Fund</w:t>
      </w:r>
    </w:p>
    <w:p w14:paraId="7FC29775" w14:textId="77777777" w:rsidR="00386515" w:rsidRPr="00386515" w:rsidRDefault="00386515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Morningstar</w:t>
      </w:r>
    </w:p>
    <w:p w14:paraId="67395F49" w14:textId="77777777" w:rsidR="00386515" w:rsidRPr="00386515" w:rsidRDefault="00386515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Georgia Department of Labor</w:t>
      </w:r>
    </w:p>
    <w:p w14:paraId="1F09500F" w14:textId="77777777" w:rsidR="00386515" w:rsidRPr="00386515" w:rsidRDefault="00386515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United States Bureau of Labor Statistics</w:t>
      </w:r>
    </w:p>
    <w:p w14:paraId="43510F70" w14:textId="77777777" w:rsidR="00386515" w:rsidRDefault="00386515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 w:rsidRPr="00386515">
        <w:rPr>
          <w:rFonts w:ascii="Lato" w:hAnsi="Lato" w:cstheme="minorHAnsi"/>
          <w:sz w:val="22"/>
          <w:szCs w:val="22"/>
        </w:rPr>
        <w:t>CoStar</w:t>
      </w:r>
    </w:p>
    <w:p w14:paraId="4F511E0A" w14:textId="3E957E3A" w:rsidR="00CE7320" w:rsidRPr="00386515" w:rsidRDefault="00CE7320" w:rsidP="00386515">
      <w:pPr>
        <w:pStyle w:val="ListParagraph"/>
        <w:widowControl w:val="0"/>
        <w:numPr>
          <w:ilvl w:val="0"/>
          <w:numId w:val="19"/>
        </w:numPr>
        <w:tabs>
          <w:tab w:val="left" w:pos="1189"/>
          <w:tab w:val="left" w:pos="1190"/>
        </w:tabs>
        <w:autoSpaceDE w:val="0"/>
        <w:autoSpaceDN w:val="0"/>
        <w:ind w:right="1176"/>
        <w:contextualSpacing w:val="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Inc.</w:t>
      </w:r>
      <w:r w:rsidR="00CF17C4">
        <w:rPr>
          <w:rFonts w:ascii="Lato" w:hAnsi="Lato" w:cstheme="minorHAnsi"/>
          <w:sz w:val="22"/>
          <w:szCs w:val="22"/>
        </w:rPr>
        <w:t>com</w:t>
      </w:r>
    </w:p>
    <w:p w14:paraId="666603CB" w14:textId="77777777" w:rsidR="00386515" w:rsidRPr="004E2350" w:rsidRDefault="00386515" w:rsidP="00386515">
      <w:pPr>
        <w:pStyle w:val="BodyText"/>
        <w:rPr>
          <w:rFonts w:ascii="Lato" w:hAnsi="Lato" w:cstheme="minorHAnsi"/>
        </w:rPr>
      </w:pPr>
    </w:p>
    <w:sectPr w:rsidR="00386515" w:rsidRPr="004E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stra Nuova Light">
    <w:altName w:val="Calibri"/>
    <w:panose1 w:val="00000000000000000000"/>
    <w:charset w:val="4D"/>
    <w:family w:val="swiss"/>
    <w:notTrueType/>
    <w:pitch w:val="variable"/>
    <w:sig w:usb0="A000002F" w:usb1="5000204A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FB3"/>
    <w:multiLevelType w:val="hybridMultilevel"/>
    <w:tmpl w:val="998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8FB"/>
    <w:multiLevelType w:val="hybridMultilevel"/>
    <w:tmpl w:val="83583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6E4"/>
    <w:multiLevelType w:val="hybridMultilevel"/>
    <w:tmpl w:val="1C3A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96D"/>
    <w:multiLevelType w:val="hybridMultilevel"/>
    <w:tmpl w:val="94064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C1BB3"/>
    <w:multiLevelType w:val="hybridMultilevel"/>
    <w:tmpl w:val="BA4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3054"/>
    <w:multiLevelType w:val="hybridMultilevel"/>
    <w:tmpl w:val="618C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B2D19"/>
    <w:multiLevelType w:val="hybridMultilevel"/>
    <w:tmpl w:val="B2863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0C235E"/>
    <w:multiLevelType w:val="hybridMultilevel"/>
    <w:tmpl w:val="51A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D62F6"/>
    <w:multiLevelType w:val="hybridMultilevel"/>
    <w:tmpl w:val="E672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0527"/>
    <w:multiLevelType w:val="hybridMultilevel"/>
    <w:tmpl w:val="C37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93079"/>
    <w:multiLevelType w:val="hybridMultilevel"/>
    <w:tmpl w:val="A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D7266"/>
    <w:multiLevelType w:val="hybridMultilevel"/>
    <w:tmpl w:val="17821AD4"/>
    <w:lvl w:ilvl="0" w:tplc="D2DAA47C"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674E8F"/>
    <w:multiLevelType w:val="hybridMultilevel"/>
    <w:tmpl w:val="F9EA1362"/>
    <w:lvl w:ilvl="0" w:tplc="D2DAA47C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322DF"/>
    <w:multiLevelType w:val="hybridMultilevel"/>
    <w:tmpl w:val="43F0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80164"/>
    <w:multiLevelType w:val="hybridMultilevel"/>
    <w:tmpl w:val="0A7A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E67"/>
    <w:multiLevelType w:val="hybridMultilevel"/>
    <w:tmpl w:val="0004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11AE0"/>
    <w:multiLevelType w:val="hybridMultilevel"/>
    <w:tmpl w:val="7340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92BC9"/>
    <w:multiLevelType w:val="hybridMultilevel"/>
    <w:tmpl w:val="10F6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73569"/>
    <w:multiLevelType w:val="hybridMultilevel"/>
    <w:tmpl w:val="8A6A9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882156"/>
    <w:multiLevelType w:val="hybridMultilevel"/>
    <w:tmpl w:val="F652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75E9"/>
    <w:multiLevelType w:val="hybridMultilevel"/>
    <w:tmpl w:val="84066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AB6FC5"/>
    <w:multiLevelType w:val="hybridMultilevel"/>
    <w:tmpl w:val="5CDC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A36B7"/>
    <w:multiLevelType w:val="hybridMultilevel"/>
    <w:tmpl w:val="83EC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1167"/>
    <w:multiLevelType w:val="hybridMultilevel"/>
    <w:tmpl w:val="1198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61F0"/>
    <w:multiLevelType w:val="hybridMultilevel"/>
    <w:tmpl w:val="EFE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261C8"/>
    <w:multiLevelType w:val="hybridMultilevel"/>
    <w:tmpl w:val="01B8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C6B03"/>
    <w:multiLevelType w:val="hybridMultilevel"/>
    <w:tmpl w:val="3DC0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48444">
    <w:abstractNumId w:val="19"/>
  </w:num>
  <w:num w:numId="2" w16cid:durableId="1575236275">
    <w:abstractNumId w:val="18"/>
  </w:num>
  <w:num w:numId="3" w16cid:durableId="1588461645">
    <w:abstractNumId w:val="8"/>
  </w:num>
  <w:num w:numId="4" w16cid:durableId="681855789">
    <w:abstractNumId w:val="4"/>
  </w:num>
  <w:num w:numId="5" w16cid:durableId="1770540432">
    <w:abstractNumId w:val="10"/>
  </w:num>
  <w:num w:numId="6" w16cid:durableId="1818104200">
    <w:abstractNumId w:val="1"/>
  </w:num>
  <w:num w:numId="7" w16cid:durableId="1313560410">
    <w:abstractNumId w:val="14"/>
  </w:num>
  <w:num w:numId="8" w16cid:durableId="995114467">
    <w:abstractNumId w:val="24"/>
  </w:num>
  <w:num w:numId="9" w16cid:durableId="1899776955">
    <w:abstractNumId w:val="0"/>
  </w:num>
  <w:num w:numId="10" w16cid:durableId="1350529074">
    <w:abstractNumId w:val="21"/>
  </w:num>
  <w:num w:numId="11" w16cid:durableId="1314985050">
    <w:abstractNumId w:val="17"/>
  </w:num>
  <w:num w:numId="12" w16cid:durableId="1183084562">
    <w:abstractNumId w:val="9"/>
  </w:num>
  <w:num w:numId="13" w16cid:durableId="450173994">
    <w:abstractNumId w:val="2"/>
  </w:num>
  <w:num w:numId="14" w16cid:durableId="538667304">
    <w:abstractNumId w:val="23"/>
  </w:num>
  <w:num w:numId="15" w16cid:durableId="1772702058">
    <w:abstractNumId w:val="5"/>
  </w:num>
  <w:num w:numId="16" w16cid:durableId="718168161">
    <w:abstractNumId w:val="13"/>
  </w:num>
  <w:num w:numId="17" w16cid:durableId="1642535381">
    <w:abstractNumId w:val="7"/>
  </w:num>
  <w:num w:numId="18" w16cid:durableId="1712612763">
    <w:abstractNumId w:val="15"/>
  </w:num>
  <w:num w:numId="19" w16cid:durableId="86661697">
    <w:abstractNumId w:val="22"/>
  </w:num>
  <w:num w:numId="20" w16cid:durableId="840508839">
    <w:abstractNumId w:val="6"/>
  </w:num>
  <w:num w:numId="21" w16cid:durableId="2059744998">
    <w:abstractNumId w:val="11"/>
  </w:num>
  <w:num w:numId="22" w16cid:durableId="1966277677">
    <w:abstractNumId w:val="12"/>
  </w:num>
  <w:num w:numId="23" w16cid:durableId="347756014">
    <w:abstractNumId w:val="16"/>
  </w:num>
  <w:num w:numId="24" w16cid:durableId="1575504390">
    <w:abstractNumId w:val="26"/>
  </w:num>
  <w:num w:numId="25" w16cid:durableId="2055235072">
    <w:abstractNumId w:val="20"/>
  </w:num>
  <w:num w:numId="26" w16cid:durableId="2121869868">
    <w:abstractNumId w:val="3"/>
  </w:num>
  <w:num w:numId="27" w16cid:durableId="374239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C4"/>
    <w:rsid w:val="00003BD5"/>
    <w:rsid w:val="00005D50"/>
    <w:rsid w:val="00005DDB"/>
    <w:rsid w:val="000109DD"/>
    <w:rsid w:val="000167C4"/>
    <w:rsid w:val="00017D17"/>
    <w:rsid w:val="0003398C"/>
    <w:rsid w:val="00047AB9"/>
    <w:rsid w:val="0005281C"/>
    <w:rsid w:val="000754BB"/>
    <w:rsid w:val="0007579D"/>
    <w:rsid w:val="0007767A"/>
    <w:rsid w:val="0008392E"/>
    <w:rsid w:val="000B2454"/>
    <w:rsid w:val="000B2F9C"/>
    <w:rsid w:val="000C35AF"/>
    <w:rsid w:val="000F3D36"/>
    <w:rsid w:val="000F5033"/>
    <w:rsid w:val="00106848"/>
    <w:rsid w:val="00134D0B"/>
    <w:rsid w:val="00154D25"/>
    <w:rsid w:val="00161947"/>
    <w:rsid w:val="00165FC3"/>
    <w:rsid w:val="001A3269"/>
    <w:rsid w:val="001A3FB2"/>
    <w:rsid w:val="001A5015"/>
    <w:rsid w:val="001B3B6B"/>
    <w:rsid w:val="001C116F"/>
    <w:rsid w:val="001C2A96"/>
    <w:rsid w:val="001C4F54"/>
    <w:rsid w:val="001D16A4"/>
    <w:rsid w:val="001F5FEE"/>
    <w:rsid w:val="00210B80"/>
    <w:rsid w:val="00217481"/>
    <w:rsid w:val="00222F76"/>
    <w:rsid w:val="00231011"/>
    <w:rsid w:val="002A3C5E"/>
    <w:rsid w:val="002A508C"/>
    <w:rsid w:val="002C24AC"/>
    <w:rsid w:val="002D2531"/>
    <w:rsid w:val="002D328F"/>
    <w:rsid w:val="002D5DDE"/>
    <w:rsid w:val="002D7BBF"/>
    <w:rsid w:val="002F0D6A"/>
    <w:rsid w:val="00316A50"/>
    <w:rsid w:val="00327055"/>
    <w:rsid w:val="00333D78"/>
    <w:rsid w:val="003565CD"/>
    <w:rsid w:val="003609E4"/>
    <w:rsid w:val="0037459C"/>
    <w:rsid w:val="00376D19"/>
    <w:rsid w:val="00377152"/>
    <w:rsid w:val="00386515"/>
    <w:rsid w:val="00390DC6"/>
    <w:rsid w:val="003E77B0"/>
    <w:rsid w:val="003F5661"/>
    <w:rsid w:val="003F7775"/>
    <w:rsid w:val="00416305"/>
    <w:rsid w:val="00424562"/>
    <w:rsid w:val="004655D4"/>
    <w:rsid w:val="00480678"/>
    <w:rsid w:val="00495DAE"/>
    <w:rsid w:val="004A4591"/>
    <w:rsid w:val="004A6A76"/>
    <w:rsid w:val="004B76EB"/>
    <w:rsid w:val="004C2E86"/>
    <w:rsid w:val="004D68E8"/>
    <w:rsid w:val="004E07CB"/>
    <w:rsid w:val="004E2350"/>
    <w:rsid w:val="004E27FB"/>
    <w:rsid w:val="005030D3"/>
    <w:rsid w:val="00504014"/>
    <w:rsid w:val="00514E3A"/>
    <w:rsid w:val="00534DCA"/>
    <w:rsid w:val="00553B90"/>
    <w:rsid w:val="005601AC"/>
    <w:rsid w:val="00561F4D"/>
    <w:rsid w:val="00566FB5"/>
    <w:rsid w:val="005749A5"/>
    <w:rsid w:val="005D461B"/>
    <w:rsid w:val="005F07B1"/>
    <w:rsid w:val="005F6D2C"/>
    <w:rsid w:val="00613842"/>
    <w:rsid w:val="006347E0"/>
    <w:rsid w:val="00635E96"/>
    <w:rsid w:val="006469F8"/>
    <w:rsid w:val="006713D1"/>
    <w:rsid w:val="00675469"/>
    <w:rsid w:val="006828EA"/>
    <w:rsid w:val="006832E4"/>
    <w:rsid w:val="00692288"/>
    <w:rsid w:val="00692F98"/>
    <w:rsid w:val="00694664"/>
    <w:rsid w:val="00697239"/>
    <w:rsid w:val="006A791E"/>
    <w:rsid w:val="006D2FE2"/>
    <w:rsid w:val="006E219C"/>
    <w:rsid w:val="006F71E4"/>
    <w:rsid w:val="00705FB7"/>
    <w:rsid w:val="007376CA"/>
    <w:rsid w:val="00777146"/>
    <w:rsid w:val="007A31C1"/>
    <w:rsid w:val="007A4184"/>
    <w:rsid w:val="007B3528"/>
    <w:rsid w:val="007B5A23"/>
    <w:rsid w:val="007C37D4"/>
    <w:rsid w:val="007D4A5A"/>
    <w:rsid w:val="0082021D"/>
    <w:rsid w:val="00820854"/>
    <w:rsid w:val="00822413"/>
    <w:rsid w:val="008248A9"/>
    <w:rsid w:val="00827D15"/>
    <w:rsid w:val="00851273"/>
    <w:rsid w:val="00860806"/>
    <w:rsid w:val="00866BDA"/>
    <w:rsid w:val="00870E1F"/>
    <w:rsid w:val="00871934"/>
    <w:rsid w:val="00875473"/>
    <w:rsid w:val="00897041"/>
    <w:rsid w:val="008B4745"/>
    <w:rsid w:val="008C0276"/>
    <w:rsid w:val="008C36E9"/>
    <w:rsid w:val="008D4730"/>
    <w:rsid w:val="008E7E07"/>
    <w:rsid w:val="008F4BA2"/>
    <w:rsid w:val="008F6291"/>
    <w:rsid w:val="009004FB"/>
    <w:rsid w:val="0090430C"/>
    <w:rsid w:val="00913063"/>
    <w:rsid w:val="00914187"/>
    <w:rsid w:val="00932E6B"/>
    <w:rsid w:val="009356FD"/>
    <w:rsid w:val="009457E0"/>
    <w:rsid w:val="00953F65"/>
    <w:rsid w:val="009644EF"/>
    <w:rsid w:val="00971F52"/>
    <w:rsid w:val="00974036"/>
    <w:rsid w:val="00977E29"/>
    <w:rsid w:val="00985AF5"/>
    <w:rsid w:val="00990178"/>
    <w:rsid w:val="00997AA4"/>
    <w:rsid w:val="009A7498"/>
    <w:rsid w:val="009D0D68"/>
    <w:rsid w:val="009D46E1"/>
    <w:rsid w:val="009D4B68"/>
    <w:rsid w:val="009E33BB"/>
    <w:rsid w:val="00A023F6"/>
    <w:rsid w:val="00A137A3"/>
    <w:rsid w:val="00A214E9"/>
    <w:rsid w:val="00A21D4E"/>
    <w:rsid w:val="00A423AE"/>
    <w:rsid w:val="00A50923"/>
    <w:rsid w:val="00A732D6"/>
    <w:rsid w:val="00A732DA"/>
    <w:rsid w:val="00A77485"/>
    <w:rsid w:val="00A84A26"/>
    <w:rsid w:val="00AC6364"/>
    <w:rsid w:val="00AF334E"/>
    <w:rsid w:val="00B05C8D"/>
    <w:rsid w:val="00B22CAB"/>
    <w:rsid w:val="00B26693"/>
    <w:rsid w:val="00B35817"/>
    <w:rsid w:val="00B50885"/>
    <w:rsid w:val="00B51CFC"/>
    <w:rsid w:val="00B56DFC"/>
    <w:rsid w:val="00B634C5"/>
    <w:rsid w:val="00B64129"/>
    <w:rsid w:val="00B664A7"/>
    <w:rsid w:val="00B746C1"/>
    <w:rsid w:val="00B77A14"/>
    <w:rsid w:val="00BA4768"/>
    <w:rsid w:val="00BB2F4E"/>
    <w:rsid w:val="00BB557F"/>
    <w:rsid w:val="00BC665E"/>
    <w:rsid w:val="00BC72F3"/>
    <w:rsid w:val="00BC7BB8"/>
    <w:rsid w:val="00BC7D05"/>
    <w:rsid w:val="00BD1F7C"/>
    <w:rsid w:val="00BD3043"/>
    <w:rsid w:val="00BF55FD"/>
    <w:rsid w:val="00C0026F"/>
    <w:rsid w:val="00C24C28"/>
    <w:rsid w:val="00C30C89"/>
    <w:rsid w:val="00C32F3A"/>
    <w:rsid w:val="00C46983"/>
    <w:rsid w:val="00C51FF0"/>
    <w:rsid w:val="00C766D6"/>
    <w:rsid w:val="00C77B9C"/>
    <w:rsid w:val="00C876B9"/>
    <w:rsid w:val="00C87A40"/>
    <w:rsid w:val="00CC5F82"/>
    <w:rsid w:val="00CD18D8"/>
    <w:rsid w:val="00CD6B26"/>
    <w:rsid w:val="00CD7D78"/>
    <w:rsid w:val="00CE4367"/>
    <w:rsid w:val="00CE6225"/>
    <w:rsid w:val="00CE7320"/>
    <w:rsid w:val="00CE7F16"/>
    <w:rsid w:val="00CF11D8"/>
    <w:rsid w:val="00CF17C4"/>
    <w:rsid w:val="00D11E33"/>
    <w:rsid w:val="00D32357"/>
    <w:rsid w:val="00D32CF4"/>
    <w:rsid w:val="00D619A7"/>
    <w:rsid w:val="00D76A0A"/>
    <w:rsid w:val="00D77D8F"/>
    <w:rsid w:val="00D855F3"/>
    <w:rsid w:val="00DA2276"/>
    <w:rsid w:val="00DB7518"/>
    <w:rsid w:val="00DD0CE5"/>
    <w:rsid w:val="00DD15DF"/>
    <w:rsid w:val="00DE19A2"/>
    <w:rsid w:val="00DE2118"/>
    <w:rsid w:val="00DE4181"/>
    <w:rsid w:val="00DE59A2"/>
    <w:rsid w:val="00DF75DC"/>
    <w:rsid w:val="00E038F5"/>
    <w:rsid w:val="00E174D4"/>
    <w:rsid w:val="00E23C49"/>
    <w:rsid w:val="00E37E9F"/>
    <w:rsid w:val="00E4021A"/>
    <w:rsid w:val="00E47D64"/>
    <w:rsid w:val="00E55133"/>
    <w:rsid w:val="00E63461"/>
    <w:rsid w:val="00E6417A"/>
    <w:rsid w:val="00E767C3"/>
    <w:rsid w:val="00E837A2"/>
    <w:rsid w:val="00E910D3"/>
    <w:rsid w:val="00E925CA"/>
    <w:rsid w:val="00E943C5"/>
    <w:rsid w:val="00EA173E"/>
    <w:rsid w:val="00EB3A33"/>
    <w:rsid w:val="00EB3AF0"/>
    <w:rsid w:val="00EB45CE"/>
    <w:rsid w:val="00EB51A3"/>
    <w:rsid w:val="00ED47CB"/>
    <w:rsid w:val="00EF2E51"/>
    <w:rsid w:val="00EF6CF2"/>
    <w:rsid w:val="00F068D0"/>
    <w:rsid w:val="00F07CAE"/>
    <w:rsid w:val="00F1019E"/>
    <w:rsid w:val="00F2068B"/>
    <w:rsid w:val="00F32961"/>
    <w:rsid w:val="00F334B8"/>
    <w:rsid w:val="00F4086D"/>
    <w:rsid w:val="00F533EB"/>
    <w:rsid w:val="00F54944"/>
    <w:rsid w:val="00F71361"/>
    <w:rsid w:val="00F761C3"/>
    <w:rsid w:val="00F94AA0"/>
    <w:rsid w:val="00FA0A95"/>
    <w:rsid w:val="00FA0FA0"/>
    <w:rsid w:val="00FB5784"/>
    <w:rsid w:val="00FB6EA5"/>
    <w:rsid w:val="00FC0D2A"/>
    <w:rsid w:val="00FD5A3C"/>
    <w:rsid w:val="00FE2E25"/>
    <w:rsid w:val="00FE31EC"/>
    <w:rsid w:val="00FE6341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6571"/>
  <w15:chartTrackingRefBased/>
  <w15:docId w15:val="{8A319C7B-F1C2-4196-9836-F3981A2C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C4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7C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7C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7C4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7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7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67C4"/>
    <w:pPr>
      <w:widowControl w:val="0"/>
      <w:autoSpaceDE w:val="0"/>
      <w:autoSpaceDN w:val="0"/>
      <w:ind w:left="1190" w:hanging="360"/>
    </w:pPr>
    <w:rPr>
      <w:rFonts w:ascii="Century Gothic" w:eastAsia="Century Gothic" w:hAnsi="Century Gothic" w:cs="Century Gothic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167C4"/>
    <w:rPr>
      <w:rFonts w:ascii="Century Gothic" w:eastAsia="Century Gothic" w:hAnsi="Century Gothic" w:cs="Century Gothic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F7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775"/>
    <w:pPr>
      <w:widowControl w:val="0"/>
      <w:autoSpaceDE w:val="0"/>
      <w:autoSpaceDN w:val="0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775"/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3F777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C32F3A"/>
    <w:pPr>
      <w:widowControl w:val="0"/>
      <w:autoSpaceDE w:val="0"/>
      <w:autoSpaceDN w:val="0"/>
      <w:ind w:left="143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2C4F.631CA0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Coweta County Board of Commissioners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Jeffers, Walker</dc:creator>
  <cp:keywords/>
  <dc:description/>
  <cp:lastModifiedBy>Freeman, Kayson</cp:lastModifiedBy>
  <cp:revision>2</cp:revision>
  <dcterms:created xsi:type="dcterms:W3CDTF">2026-01-06T19:32:00Z</dcterms:created>
  <dcterms:modified xsi:type="dcterms:W3CDTF">2026-01-06T19:32:00Z</dcterms:modified>
</cp:coreProperties>
</file>